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Kim Yongsoo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5700 WILSHIRE BLVD.,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WEBTOON Entertainment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WBTN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See Remarks</w:t>
      </w:r>
    </w:p>
    <w:p>
      <w:pPr>
        <w:spacing w:after="0" w:line="279" w:lineRule="exact"/>
        <w:rPr>
          <w:sz w:val="24"/>
          <w:szCs w:val="24"/>
          <w:color w:val="auto"/>
        </w:rPr>
      </w:pPr>
    </w:p>
    <w:p>
      <w:pPr>
        <w:sectPr>
          <w:pgSz w:w="11900" w:h="16838" w:orient="portrait"/>
          <w:cols w:equalWidth="0" w:num="3">
            <w:col w:w="3200" w:space="720"/>
            <w:col w:w="3500" w:space="315"/>
            <w:col w:w="3345"/>
          </w:cols>
          <w:pgMar w:left="460" w:top="219" w:right="359" w:bottom="1440" w:gutter="0" w:footer="0" w:header="0"/>
          <w:type w:val="continuous"/>
        </w:sectPr>
      </w:pP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LOS</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90036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3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6,178</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217,027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income tax withholding and remittance obligations in connection with the vesting and net settlement of the Reporting Person's equity awards, previously reported on a Form 4,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and Director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Maximilian Jo,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16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Yongsoo</w:t>
        <w:tab/>
        <w:t>04/27/2026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Kim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95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55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7201" TargetMode="External"/><Relationship Id="rId14" Type="http://schemas.openxmlformats.org/officeDocument/2006/relationships/hyperlink" Target="http://www.sec.gov/cgi-bin/browse-edgar?action=getcompany&amp;CIK=00019978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2026-04-27T17:35:06Z</dcterms:created>
  <dcterms:modified xsi:type="dcterms:W3CDTF">2026-04-27T17:35:06Z</dcterms:modified>
</cp:coreProperties>
</file>