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156210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259715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WEBTOON Entertainment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264160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00" w:type="dxa"/>
            <w:vAlign w:val="bottom"/>
          </w:tcPr>
          <w:p>
            <w:pPr>
              <w:jc w:val="right"/>
              <w:ind w:right="1541"/>
              <w:spacing w:after="0"/>
              <w:rPr>
                <w:sz w:val="20"/>
                <w:szCs w:val="20"/>
                <w:color w:val="auto"/>
              </w:rPr>
            </w:pPr>
            <w:r>
              <w:rPr>
                <w:rFonts w:ascii="Times New Roman" w:cs="Times New Roman" w:eastAsia="Times New Roman" w:hAnsi="Times New Roman"/>
                <w:sz w:val="18"/>
                <w:szCs w:val="18"/>
                <w:b w:val="1"/>
                <w:bCs w:val="1"/>
                <w:color w:val="auto"/>
              </w:rPr>
              <w:t>001-42144</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81-3830533</w:t>
            </w:r>
          </w:p>
        </w:tc>
      </w:tr>
      <w:tr>
        <w:trPr>
          <w:trHeight w:val="199"/>
        </w:trPr>
        <w:tc>
          <w:tcPr>
            <w:tcW w:w="3200" w:type="dxa"/>
            <w:vAlign w:val="bottom"/>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70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00" w:type="dxa"/>
            <w:vAlign w:val="bottom"/>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70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505"/>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222 N. Pacific Coast Highway</w:t>
            </w:r>
          </w:p>
        </w:tc>
        <w:tc>
          <w:tcPr>
            <w:tcW w:w="37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8"/>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Suite 2300</w:t>
            </w:r>
          </w:p>
        </w:tc>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70"/>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El Segundo, California</w:t>
            </w:r>
          </w:p>
        </w:tc>
        <w:tc>
          <w:tcPr>
            <w:tcW w:w="3700" w:type="dxa"/>
            <w:vAlign w:val="bottom"/>
          </w:tcPr>
          <w:p>
            <w:pPr>
              <w:spacing w:after="0"/>
              <w:rPr>
                <w:sz w:val="23"/>
                <w:szCs w:val="23"/>
                <w:color w:val="auto"/>
              </w:rPr>
            </w:pPr>
          </w:p>
        </w:tc>
        <w:tc>
          <w:tcPr>
            <w:tcW w:w="228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90245</w:t>
            </w:r>
          </w:p>
        </w:tc>
      </w:tr>
      <w:tr>
        <w:trPr>
          <w:trHeight w:val="215"/>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00" w:type="dxa"/>
            <w:vAlign w:val="bottom"/>
          </w:tcPr>
          <w:p>
            <w:pPr>
              <w:spacing w:after="0"/>
              <w:rPr>
                <w:sz w:val="18"/>
                <w:szCs w:val="18"/>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(323) 424-3795</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5700 Wilshire Blvd., Suite 220, Los Angeles, CA, 90036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60" w:type="dxa"/>
            <w:vAlign w:val="bottom"/>
          </w:tcPr>
          <w:p>
            <w:pPr>
              <w:spacing w:after="0"/>
              <w:rPr>
                <w:sz w:val="18"/>
                <w:szCs w:val="18"/>
                <w:color w:val="auto"/>
              </w:rPr>
            </w:pPr>
          </w:p>
        </w:tc>
      </w:tr>
      <w:tr>
        <w:trPr>
          <w:trHeight w:val="238"/>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6"/>
        </w:trPr>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WBTN</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0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0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556260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June 3, 2026, WEBTOON Entertainment Inc. (the "Company") held its 2026 Annual Meeting of Stockholders (the "Annual Meeting"). At the Annual Meeting, holders of 128,189,361 shares of common stock of the Company, representing approximately 95.2% of the voting power of the shares of common stock of the Company as of the close of business on April 10, 2026, the record date for the Annual Meeting, and constituting a quorum for the transaction of business, were present in person or by proxy. The following matters, as described more fully in the Company's definitive proxy statement filed with the U.S. Securities and Exchange Commission on April 22, 2026, were voted on by the stockholders at the Annual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stockholders elected each of the three nominees named below as Class II directors to serve until the 2029 Annual Meeting and until their successors are duly elected and qualified. The voting results were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84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7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Namsun Kim</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114,966,850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12,146,672</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1,075,839</w:t>
            </w:r>
          </w:p>
        </w:tc>
      </w:tr>
      <w:tr>
        <w:trPr>
          <w:trHeight w:val="229"/>
        </w:trPr>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 Masuda</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113,666,847</w:t>
            </w:r>
          </w:p>
        </w:tc>
        <w:tc>
          <w:tcPr>
            <w:tcW w:w="1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13,446,675</w:t>
            </w:r>
          </w:p>
        </w:tc>
        <w:tc>
          <w:tcPr>
            <w:tcW w:w="10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1,075,839</w:t>
            </w:r>
          </w:p>
        </w:tc>
      </w:tr>
      <w:tr>
        <w:trPr>
          <w:trHeight w:val="229"/>
        </w:trPr>
        <w:tc>
          <w:tcPr>
            <w:tcW w:w="2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Isabelle Winkles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126,835,509</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278,013</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1,075,839</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Advisory Vote on the Compensation of Our Named Executive Officers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stockholders approved, on an advisory, non-binding basis, the compensation of the Company's named executive officers. The voting results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4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Abstain</w:t>
            </w:r>
          </w:p>
        </w:tc>
        <w:tc>
          <w:tcPr>
            <w:tcW w:w="27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127,064,456</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46,916</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1,075,839</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Ratification of the Selection of Independent Registered Public Accounting Firm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stockholders ratified the selection by the Audit Committee of the Board of Directors of the Company of Samil PricewaterhouseCoopers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independent registered public accounting firm for the fiscal year ending December 31, 2026. The voting results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76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70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Votes Abstain</w:t>
            </w:r>
          </w:p>
        </w:tc>
      </w:tr>
      <w:tr>
        <w:trPr>
          <w:trHeight w:val="223"/>
        </w:trPr>
        <w:tc>
          <w:tcPr>
            <w:tcW w:w="3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128,182,191</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40" w:type="dxa"/>
            <w:vAlign w:val="bottom"/>
          </w:tcPr>
          <w:p>
            <w:pPr>
              <w:spacing w:after="0"/>
              <w:rPr>
                <w:sz w:val="19"/>
                <w:szCs w:val="19"/>
                <w:color w:val="auto"/>
              </w:rPr>
            </w:pPr>
          </w:p>
        </w:tc>
      </w:tr>
      <w:tr>
        <w:trPr>
          <w:trHeight w:val="1235"/>
        </w:trPr>
        <w:tc>
          <w:tcPr>
            <w:tcW w:w="3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WEBTOON Entertainment Inc.</w:t>
            </w:r>
          </w:p>
        </w:tc>
        <w:tc>
          <w:tcPr>
            <w:tcW w:w="0" w:type="dxa"/>
            <w:vAlign w:val="bottom"/>
          </w:tcPr>
          <w:p>
            <w:pPr>
              <w:spacing w:after="0"/>
              <w:rPr>
                <w:sz w:val="1"/>
                <w:szCs w:val="1"/>
                <w:color w:val="auto"/>
              </w:rPr>
            </w:pPr>
          </w:p>
        </w:tc>
      </w:tr>
      <w:tr>
        <w:trPr>
          <w:trHeight w:val="59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27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J. Lee</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72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720" w:type="dxa"/>
            <w:vAlign w:val="bottom"/>
            <w:vMerge w:val="continue"/>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J. Lee</w:t>
            </w:r>
          </w:p>
        </w:tc>
        <w:tc>
          <w:tcPr>
            <w:tcW w:w="0" w:type="dxa"/>
            <w:vAlign w:val="bottom"/>
          </w:tcPr>
          <w:p>
            <w:pPr>
              <w:spacing w:after="0"/>
              <w:rPr>
                <w:sz w:val="1"/>
                <w:szCs w:val="1"/>
                <w:color w:val="auto"/>
              </w:rPr>
            </w:pPr>
          </w:p>
        </w:tc>
      </w:tr>
      <w:tr>
        <w:trPr>
          <w:trHeight w:val="418"/>
        </w:trPr>
        <w:tc>
          <w:tcPr>
            <w:tcW w:w="3540" w:type="dxa"/>
            <w:vAlign w:val="bottom"/>
          </w:tcPr>
          <w:p>
            <w:pPr>
              <w:spacing w:after="0"/>
              <w:rPr>
                <w:sz w:val="24"/>
                <w:szCs w:val="24"/>
                <w:color w:val="auto"/>
              </w:rPr>
            </w:pPr>
          </w:p>
        </w:tc>
        <w:tc>
          <w:tcPr>
            <w:tcW w:w="27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2026-06-04T15:46:50Z</dcterms:created>
  <dcterms:modified xsi:type="dcterms:W3CDTF">2026-06-04T15:46:50Z</dcterms:modified>
</cp:coreProperties>
</file>