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188595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156210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08,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259715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WEBTOON Entertainment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264160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3200" w:type="dxa"/>
            <w:vAlign w:val="bottom"/>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00" w:type="dxa"/>
            <w:vAlign w:val="bottom"/>
          </w:tcPr>
          <w:p>
            <w:pPr>
              <w:jc w:val="right"/>
              <w:ind w:right="1541"/>
              <w:spacing w:after="0"/>
              <w:rPr>
                <w:sz w:val="20"/>
                <w:szCs w:val="20"/>
                <w:color w:val="auto"/>
              </w:rPr>
            </w:pPr>
            <w:r>
              <w:rPr>
                <w:rFonts w:ascii="Times New Roman" w:cs="Times New Roman" w:eastAsia="Times New Roman" w:hAnsi="Times New Roman"/>
                <w:sz w:val="18"/>
                <w:szCs w:val="18"/>
                <w:b w:val="1"/>
                <w:bCs w:val="1"/>
                <w:color w:val="auto"/>
              </w:rPr>
              <w:t>001-42144</w:t>
            </w:r>
          </w:p>
        </w:tc>
        <w:tc>
          <w:tcPr>
            <w:tcW w:w="22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81-3830533</w:t>
            </w:r>
          </w:p>
        </w:tc>
      </w:tr>
      <w:tr>
        <w:trPr>
          <w:trHeight w:val="199"/>
        </w:trPr>
        <w:tc>
          <w:tcPr>
            <w:tcW w:w="3200" w:type="dxa"/>
            <w:vAlign w:val="bottom"/>
          </w:tcPr>
          <w:p>
            <w:pPr>
              <w:jc w:val="center"/>
              <w:ind w:right="8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70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80" w:type="dxa"/>
            <w:vAlign w:val="bottom"/>
          </w:tcPr>
          <w:p>
            <w:pPr>
              <w:jc w:val="center"/>
              <w:ind w:left="11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00" w:type="dxa"/>
            <w:vAlign w:val="bottom"/>
          </w:tcPr>
          <w:p>
            <w:pPr>
              <w:jc w:val="center"/>
              <w:ind w:right="8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70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505"/>
        </w:trPr>
        <w:tc>
          <w:tcPr>
            <w:tcW w:w="3200" w:type="dxa"/>
            <w:vAlign w:val="bottom"/>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5700 Wilshire Blvd.</w:t>
            </w:r>
          </w:p>
        </w:tc>
        <w:tc>
          <w:tcPr>
            <w:tcW w:w="37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8"/>
        </w:trPr>
        <w:tc>
          <w:tcPr>
            <w:tcW w:w="3200" w:type="dxa"/>
            <w:vAlign w:val="bottom"/>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Suite 220</w:t>
            </w:r>
          </w:p>
        </w:tc>
        <w:tc>
          <w:tcPr>
            <w:tcW w:w="37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70"/>
        </w:trPr>
        <w:tc>
          <w:tcPr>
            <w:tcW w:w="3200" w:type="dxa"/>
            <w:vAlign w:val="bottom"/>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Los Angeles, California</w:t>
            </w:r>
          </w:p>
        </w:tc>
        <w:tc>
          <w:tcPr>
            <w:tcW w:w="3700" w:type="dxa"/>
            <w:vAlign w:val="bottom"/>
          </w:tcPr>
          <w:p>
            <w:pPr>
              <w:spacing w:after="0"/>
              <w:rPr>
                <w:sz w:val="23"/>
                <w:szCs w:val="23"/>
                <w:color w:val="auto"/>
              </w:rPr>
            </w:pPr>
          </w:p>
        </w:tc>
        <w:tc>
          <w:tcPr>
            <w:tcW w:w="2280" w:type="dxa"/>
            <w:vAlign w:val="bottom"/>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90036</w:t>
            </w:r>
          </w:p>
        </w:tc>
      </w:tr>
      <w:tr>
        <w:trPr>
          <w:trHeight w:val="215"/>
        </w:trPr>
        <w:tc>
          <w:tcPr>
            <w:tcW w:w="3200" w:type="dxa"/>
            <w:vAlign w:val="bottom"/>
          </w:tcPr>
          <w:p>
            <w:pPr>
              <w:jc w:val="center"/>
              <w:ind w:right="82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700" w:type="dxa"/>
            <w:vAlign w:val="bottom"/>
          </w:tcPr>
          <w:p>
            <w:pPr>
              <w:spacing w:after="0"/>
              <w:rPr>
                <w:sz w:val="18"/>
                <w:szCs w:val="18"/>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(323) 424-3795</w:t>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560" w:type="dxa"/>
            <w:vAlign w:val="bottom"/>
          </w:tcPr>
          <w:p>
            <w:pPr>
              <w:spacing w:after="0"/>
              <w:rPr>
                <w:sz w:val="18"/>
                <w:szCs w:val="18"/>
                <w:color w:val="auto"/>
              </w:rPr>
            </w:pPr>
          </w:p>
        </w:tc>
      </w:tr>
      <w:tr>
        <w:trPr>
          <w:trHeight w:val="238"/>
        </w:trPr>
        <w:tc>
          <w:tcPr>
            <w:tcW w:w="4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6"/>
        </w:trPr>
        <w:tc>
          <w:tcPr>
            <w:tcW w:w="4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WBTN</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1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244"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462280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10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On January 8, 2026, WEBTOON Entertainment Inc. (the “Company”) entered into a Securities Purchase Agreement (the “Purchase Agreement”) with a wholly owned indirect subsidiary of The Walt Disney Company (“Disney”), pursuant to which Disney purchased 2,666,757 shares of the Company’s common stock, par value $0.0001 per share (the “Shares”), representing an approximately 2% equity interest in the Company, for an aggregate purchase price of $32,774,443.53. The Shares were issued in a private placement in reliance on the exemption provided by Section 4(a)(2) of the Securities Act of 1933, as amended (the “Securities Act”), as a transaction not involving a public offering.</w:t>
      </w:r>
    </w:p>
    <w:p>
      <w:pPr>
        <w:spacing w:after="0" w:line="198" w:lineRule="exact"/>
        <w:rPr>
          <w:sz w:val="20"/>
          <w:szCs w:val="20"/>
          <w:color w:val="auto"/>
        </w:rPr>
      </w:pPr>
    </w:p>
    <w:p>
      <w:pPr>
        <w:jc w:val="both"/>
        <w:ind w:right="100" w:firstLine="180"/>
        <w:spacing w:after="0" w:line="266" w:lineRule="auto"/>
        <w:rPr>
          <w:sz w:val="20"/>
          <w:szCs w:val="20"/>
          <w:color w:val="auto"/>
        </w:rPr>
      </w:pPr>
      <w:r>
        <w:rPr>
          <w:rFonts w:ascii="Times New Roman" w:cs="Times New Roman" w:eastAsia="Times New Roman" w:hAnsi="Times New Roman"/>
          <w:sz w:val="18"/>
          <w:szCs w:val="18"/>
          <w:color w:val="auto"/>
        </w:rPr>
        <w:t>In connection with the Purchase Agreement, the Company has provided Disney with certain rights related to its investment in the Shares, including the ability to approve certain corporate actions that would adversely affect Disney or its affiliates and the ability to sell or otherwise transfer the Shares for the same consideration, on the same terms and subject to the same conditions as a sale or transfer made by NAVER Corporation or LY Corporation.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08"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auto"/>
        </w:rPr>
        <w:t>On January 8, 2026, in connection with the entry into the Purchase Agreement and the issuance of Shares to Disney, the Company entered into a definitive agreement with Disney to develop an all-new digital comics platform. The Company previously disclosed the signing of a non-binding term sheet with respect to the future development of an all-new digital comics platform and a minority equity investment in the Company by Disney.</w:t>
      </w:r>
    </w:p>
    <w:p>
      <w:pPr>
        <w:spacing w:after="0" w:line="197" w:lineRule="exact"/>
        <w:rPr>
          <w:sz w:val="20"/>
          <w:szCs w:val="20"/>
          <w:color w:val="auto"/>
        </w:rPr>
      </w:pPr>
    </w:p>
    <w:p>
      <w:pPr>
        <w:ind w:right="100" w:firstLine="177"/>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Item 7.01 of this Current Report on Form 8-K is being furnished and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WEBTOON Entertainment Inc.</w:t>
      </w:r>
    </w:p>
    <w:p>
      <w:pPr>
        <w:spacing w:after="0" w:line="391" w:lineRule="exact"/>
        <w:rPr>
          <w:sz w:val="20"/>
          <w:szCs w:val="20"/>
          <w:color w:val="auto"/>
        </w:rPr>
      </w:pPr>
    </w:p>
    <w:p>
      <w:pPr>
        <w:ind w:left="20"/>
        <w:spacing w:after="0"/>
        <w:tabs>
          <w:tab w:leader="none" w:pos="620" w:val="left"/>
          <w:tab w:leader="none" w:pos="5540" w:val="left"/>
          <w:tab w:leader="none" w:pos="6280" w:val="left"/>
        </w:tabs>
        <w:rPr>
          <w:sz w:val="20"/>
          <w:szCs w:val="20"/>
          <w:color w:val="auto"/>
        </w:rPr>
      </w:pPr>
      <w:r>
        <w:rPr>
          <w:rFonts w:ascii="Times New Roman" w:cs="Times New Roman" w:eastAsia="Times New Roman" w:hAnsi="Times New Roman"/>
          <w:sz w:val="18"/>
          <w:szCs w:val="18"/>
          <w:color w:val="auto"/>
        </w:rPr>
        <w:t>Date:</w:t>
        <w:tab/>
        <w:t>January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J.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34290</wp:posOffset>
            </wp:positionV>
            <wp:extent cx="31292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43" w:lineRule="exact"/>
        <w:rPr>
          <w:sz w:val="20"/>
          <w:szCs w:val="20"/>
          <w:color w:val="auto"/>
        </w:rPr>
      </w:pPr>
    </w:p>
    <w:p>
      <w:pPr>
        <w:ind w:left="5560"/>
        <w:spacing w:after="0"/>
        <w:tabs>
          <w:tab w:leader="none" w:pos="6280" w:val="left"/>
        </w:tabs>
        <w:rPr>
          <w:sz w:val="20"/>
          <w:szCs w:val="20"/>
          <w:color w:val="auto"/>
        </w:rPr>
      </w:pPr>
      <w:r>
        <w:rPr>
          <w:rFonts w:ascii="Times New Roman" w:cs="Times New Roman" w:eastAsia="Times New Roman" w:hAnsi="Times New Roman"/>
          <w:sz w:val="18"/>
          <w:szCs w:val="18"/>
          <w:color w:val="auto"/>
        </w:rPr>
        <w:t>Name:</w:t>
        <w:tab/>
        <w:t>David J. Lee</w:t>
      </w:r>
    </w:p>
    <w:p>
      <w:pPr>
        <w:spacing w:after="0" w:line="225" w:lineRule="exact"/>
        <w:rPr>
          <w:sz w:val="20"/>
          <w:szCs w:val="20"/>
          <w:color w:val="auto"/>
        </w:rPr>
      </w:pPr>
    </w:p>
    <w:p>
      <w:pPr>
        <w:ind w:left="556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 and Chief Operating Officer</w:t>
      </w:r>
    </w:p>
    <w:sectPr>
      <w:pgSz w:w="11900" w:h="16838" w:orient="portrait"/>
      <w:cols w:equalWidth="0" w:num="1">
        <w:col w:w="11200"/>
      </w:cols>
      <w:pgMar w:left="320" w:top="114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2026-01-08T16:12:33Z</dcterms:created>
  <dcterms:modified xsi:type="dcterms:W3CDTF">2026-01-08T16:12:33Z</dcterms:modified>
</cp:coreProperties>
</file>