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4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UNITED STATES SECURITIES AND EXCHANGE COMMISSION</w:t>
      </w:r>
    </w:p>
    <w:p>
      <w:pPr>
        <w:spacing w:after="0" w:line="272"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SCHEDULE 14A</w:t>
      </w:r>
    </w:p>
    <w:p>
      <w:pPr>
        <w:spacing w:after="0" w:line="27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1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5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13" w:lineRule="auto"/>
        <w:rPr>
          <w:sz w:val="20"/>
          <w:szCs w:val="20"/>
          <w:color w:val="auto"/>
        </w:rPr>
      </w:pPr>
      <w:r>
        <w:rPr>
          <w:rFonts w:ascii="Times New Roman" w:cs="Times New Roman" w:eastAsia="Times New Roman" w:hAnsi="Times New Roman"/>
          <w:sz w:val="18"/>
          <w:szCs w:val="18"/>
          <w:color w:val="auto"/>
        </w:rPr>
        <w:t>Check the appropriate box:</w:t>
      </w:r>
    </w:p>
    <w:p>
      <w:pPr>
        <w:spacing w:after="0" w:line="1"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 w:lineRule="exact"/>
        <w:rPr>
          <w:rFonts w:ascii="MS PGothic" w:cs="MS PGothic" w:eastAsia="MS PGothic" w:hAnsi="MS PGothic"/>
          <w:sz w:val="18"/>
          <w:szCs w:val="18"/>
          <w:color w:val="auto"/>
        </w:rPr>
      </w:pPr>
    </w:p>
    <w:p>
      <w:pPr>
        <w:ind w:left="220" w:hanging="212"/>
        <w:spacing w:after="0" w:line="234" w:lineRule="auto"/>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02"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Definitive Proxy Statement</w:t>
      </w: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200" w:lineRule="exact"/>
        <w:rPr>
          <w:sz w:val="24"/>
          <w:szCs w:val="24"/>
          <w:color w:val="auto"/>
        </w:rPr>
      </w:pPr>
    </w:p>
    <w:p>
      <w:pPr>
        <w:spacing w:after="0" w:line="28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43"/>
          <w:szCs w:val="43"/>
          <w:b w:val="1"/>
          <w:bCs w:val="1"/>
          <w:color w:val="auto"/>
        </w:rPr>
        <w:t>WEBTOON Entertainment Inc.</w:t>
      </w:r>
    </w:p>
    <w:p>
      <w:pPr>
        <w:spacing w:after="0" w:line="5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14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4"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ind w:left="220" w:hanging="212"/>
        <w:spacing w:after="0"/>
        <w:tabs>
          <w:tab w:leader="none" w:pos="2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5" w:lineRule="exact"/>
        <w:rPr>
          <w:rFonts w:ascii="MS PGothic" w:cs="MS PGothic" w:eastAsia="MS PGothic" w:hAnsi="MS PGothic"/>
          <w:sz w:val="18"/>
          <w:szCs w:val="18"/>
          <w:color w:val="auto"/>
        </w:rPr>
      </w:pPr>
    </w:p>
    <w:p>
      <w:pPr>
        <w:ind w:left="220" w:hanging="212"/>
        <w:spacing w:after="0"/>
        <w:tabs>
          <w:tab w:leader="none" w:pos="2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848995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243205</wp:posOffset>
            </wp:positionV>
            <wp:extent cx="7157720" cy="90049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9004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ind w:right="4960"/>
        <w:spacing w:after="0" w:line="299" w:lineRule="auto"/>
        <w:rPr>
          <w:sz w:val="20"/>
          <w:szCs w:val="20"/>
          <w:color w:val="auto"/>
        </w:rPr>
      </w:pPr>
      <w:r>
        <w:rPr>
          <w:rFonts w:ascii="Arial" w:cs="Arial" w:eastAsia="Arial" w:hAnsi="Arial"/>
          <w:sz w:val="54"/>
          <w:szCs w:val="54"/>
          <w:b w:val="1"/>
          <w:bCs w:val="1"/>
          <w:color w:val="00DC64"/>
        </w:rPr>
        <w:t>Notice of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b w:val="1"/>
          <w:bCs w:val="1"/>
          <w:color w:val="00DC64"/>
        </w:rPr>
        <w:t>MEETING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240030" cy="2400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0030" cy="240030"/>
                    </a:xfrm>
                    <a:prstGeom prst="rect">
                      <a:avLst/>
                    </a:prstGeom>
                    <a:noFill/>
                  </pic:spPr>
                </pic:pic>
              </a:graphicData>
            </a:graphic>
          </wp:anchor>
        </w:drawing>
        <w:drawing>
          <wp:anchor simplePos="0" relativeHeight="251657728" behindDoc="1" locked="0" layoutInCell="0" allowOverlap="1">
            <wp:simplePos x="0" y="0"/>
            <wp:positionH relativeFrom="column">
              <wp:posOffset>2379345</wp:posOffset>
            </wp:positionH>
            <wp:positionV relativeFrom="paragraph">
              <wp:posOffset>100330</wp:posOffset>
            </wp:positionV>
            <wp:extent cx="240030" cy="2400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0030" cy="24003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100330</wp:posOffset>
            </wp:positionV>
            <wp:extent cx="240030" cy="2400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40" w:type="dxa"/>
            <w:vAlign w:val="bottom"/>
          </w:tcPr>
          <w:p>
            <w:pPr>
              <w:ind w:left="680"/>
              <w:spacing w:after="0"/>
              <w:rPr>
                <w:sz w:val="20"/>
                <w:szCs w:val="20"/>
                <w:color w:val="auto"/>
              </w:rPr>
            </w:pPr>
            <w:r>
              <w:rPr>
                <w:rFonts w:ascii="Arial" w:cs="Arial" w:eastAsia="Arial" w:hAnsi="Arial"/>
                <w:sz w:val="14"/>
                <w:szCs w:val="14"/>
                <w:b w:val="1"/>
                <w:bCs w:val="1"/>
                <w:color w:val="00DC64"/>
              </w:rPr>
              <w:t>Date &amp; Time</w:t>
            </w:r>
          </w:p>
        </w:tc>
        <w:tc>
          <w:tcPr>
            <w:tcW w:w="3380" w:type="dxa"/>
            <w:vAlign w:val="bottom"/>
          </w:tcPr>
          <w:p>
            <w:pPr>
              <w:ind w:left="380"/>
              <w:spacing w:after="0"/>
              <w:rPr>
                <w:sz w:val="20"/>
                <w:szCs w:val="20"/>
                <w:color w:val="auto"/>
              </w:rPr>
            </w:pPr>
            <w:r>
              <w:rPr>
                <w:rFonts w:ascii="Arial" w:cs="Arial" w:eastAsia="Arial" w:hAnsi="Arial"/>
                <w:sz w:val="14"/>
                <w:szCs w:val="14"/>
                <w:b w:val="1"/>
                <w:bCs w:val="1"/>
                <w:color w:val="00DC64"/>
              </w:rPr>
              <w:t>Location</w:t>
            </w:r>
          </w:p>
        </w:tc>
        <w:tc>
          <w:tcPr>
            <w:tcW w:w="3820" w:type="dxa"/>
            <w:vAlign w:val="bottom"/>
          </w:tcPr>
          <w:p>
            <w:pPr>
              <w:ind w:left="760"/>
              <w:spacing w:after="0"/>
              <w:rPr>
                <w:sz w:val="20"/>
                <w:szCs w:val="20"/>
                <w:color w:val="auto"/>
              </w:rPr>
            </w:pPr>
            <w:r>
              <w:rPr>
                <w:rFonts w:ascii="Arial" w:cs="Arial" w:eastAsia="Arial" w:hAnsi="Arial"/>
                <w:sz w:val="14"/>
                <w:szCs w:val="14"/>
                <w:b w:val="1"/>
                <w:bCs w:val="1"/>
                <w:color w:val="00DC64"/>
              </w:rPr>
              <w:t>Record Date</w:t>
            </w:r>
          </w:p>
        </w:tc>
      </w:tr>
      <w:tr>
        <w:trPr>
          <w:trHeight w:val="251"/>
        </w:trPr>
        <w:tc>
          <w:tcPr>
            <w:tcW w:w="4040" w:type="dxa"/>
            <w:vAlign w:val="bottom"/>
          </w:tcPr>
          <w:p>
            <w:pPr>
              <w:ind w:left="680"/>
              <w:spacing w:after="0"/>
              <w:rPr>
                <w:sz w:val="20"/>
                <w:szCs w:val="20"/>
                <w:color w:val="auto"/>
              </w:rPr>
            </w:pPr>
            <w:r>
              <w:rPr>
                <w:rFonts w:ascii="Arial" w:cs="Arial" w:eastAsia="Arial" w:hAnsi="Arial"/>
                <w:sz w:val="14"/>
                <w:szCs w:val="14"/>
                <w:color w:val="auto"/>
              </w:rPr>
              <w:t>Wednesday, June 3, 2026, at 4:00 p.m. Pacific</w:t>
            </w:r>
          </w:p>
        </w:tc>
        <w:tc>
          <w:tcPr>
            <w:tcW w:w="3380" w:type="dxa"/>
            <w:vAlign w:val="bottom"/>
          </w:tcPr>
          <w:p>
            <w:pPr>
              <w:ind w:left="380"/>
              <w:spacing w:after="0"/>
              <w:rPr>
                <w:sz w:val="20"/>
                <w:szCs w:val="20"/>
                <w:color w:val="auto"/>
              </w:rPr>
            </w:pPr>
            <w:r>
              <w:rPr>
                <w:rFonts w:ascii="Arial" w:cs="Arial" w:eastAsia="Arial" w:hAnsi="Arial"/>
                <w:sz w:val="14"/>
                <w:szCs w:val="14"/>
                <w:color w:val="auto"/>
              </w:rPr>
              <w:t>Virtually via live webcast by visiting</w:t>
            </w:r>
          </w:p>
        </w:tc>
        <w:tc>
          <w:tcPr>
            <w:tcW w:w="3820" w:type="dxa"/>
            <w:vAlign w:val="bottom"/>
          </w:tcPr>
          <w:p>
            <w:pPr>
              <w:ind w:left="760"/>
              <w:spacing w:after="0"/>
              <w:rPr>
                <w:sz w:val="20"/>
                <w:szCs w:val="20"/>
                <w:color w:val="auto"/>
              </w:rPr>
            </w:pPr>
            <w:r>
              <w:rPr>
                <w:rFonts w:ascii="Arial" w:cs="Arial" w:eastAsia="Arial" w:hAnsi="Arial"/>
                <w:sz w:val="14"/>
                <w:szCs w:val="14"/>
                <w:color w:val="auto"/>
              </w:rPr>
              <w:t>April 10, 2026</w:t>
            </w:r>
          </w:p>
        </w:tc>
      </w:tr>
      <w:tr>
        <w:trPr>
          <w:trHeight w:val="203"/>
        </w:trPr>
        <w:tc>
          <w:tcPr>
            <w:tcW w:w="4040" w:type="dxa"/>
            <w:vAlign w:val="bottom"/>
          </w:tcPr>
          <w:p>
            <w:pPr>
              <w:ind w:left="680"/>
              <w:spacing w:after="0"/>
              <w:rPr>
                <w:sz w:val="20"/>
                <w:szCs w:val="20"/>
                <w:color w:val="auto"/>
              </w:rPr>
            </w:pPr>
            <w:r>
              <w:rPr>
                <w:rFonts w:ascii="Arial" w:cs="Arial" w:eastAsia="Arial" w:hAnsi="Arial"/>
                <w:sz w:val="14"/>
                <w:szCs w:val="14"/>
                <w:color w:val="auto"/>
              </w:rPr>
              <w:t>Daylight Time</w:t>
            </w:r>
          </w:p>
        </w:tc>
        <w:tc>
          <w:tcPr>
            <w:tcW w:w="3380" w:type="dxa"/>
            <w:vAlign w:val="bottom"/>
          </w:tcPr>
          <w:p>
            <w:pPr>
              <w:ind w:left="380"/>
              <w:spacing w:after="0"/>
              <w:rPr>
                <w:sz w:val="20"/>
                <w:szCs w:val="20"/>
                <w:color w:val="auto"/>
              </w:rPr>
            </w:pPr>
            <w:r>
              <w:rPr>
                <w:rFonts w:ascii="Arial" w:cs="Arial" w:eastAsia="Arial" w:hAnsi="Arial"/>
                <w:sz w:val="14"/>
                <w:szCs w:val="14"/>
                <w:color w:val="auto"/>
              </w:rPr>
              <w:t>http://www.virtualshare</w:t>
            </w:r>
          </w:p>
        </w:tc>
        <w:tc>
          <w:tcPr>
            <w:tcW w:w="3820" w:type="dxa"/>
            <w:vAlign w:val="bottom"/>
          </w:tcPr>
          <w:p>
            <w:pPr>
              <w:spacing w:after="0"/>
              <w:rPr>
                <w:sz w:val="17"/>
                <w:szCs w:val="17"/>
                <w:color w:val="auto"/>
              </w:rPr>
            </w:pPr>
          </w:p>
        </w:tc>
      </w:tr>
      <w:tr>
        <w:trPr>
          <w:trHeight w:val="203"/>
        </w:trPr>
        <w:tc>
          <w:tcPr>
            <w:tcW w:w="4040" w:type="dxa"/>
            <w:vAlign w:val="bottom"/>
          </w:tcPr>
          <w:p>
            <w:pPr>
              <w:spacing w:after="0"/>
              <w:rPr>
                <w:sz w:val="17"/>
                <w:szCs w:val="17"/>
                <w:color w:val="auto"/>
              </w:rPr>
            </w:pPr>
          </w:p>
        </w:tc>
        <w:tc>
          <w:tcPr>
            <w:tcW w:w="3380" w:type="dxa"/>
            <w:vAlign w:val="bottom"/>
          </w:tcPr>
          <w:p>
            <w:pPr>
              <w:ind w:left="380"/>
              <w:spacing w:after="0"/>
              <w:rPr>
                <w:sz w:val="20"/>
                <w:szCs w:val="20"/>
                <w:color w:val="auto"/>
              </w:rPr>
            </w:pPr>
            <w:r>
              <w:rPr>
                <w:rFonts w:ascii="Arial" w:cs="Arial" w:eastAsia="Arial" w:hAnsi="Arial"/>
                <w:sz w:val="14"/>
                <w:szCs w:val="14"/>
                <w:color w:val="auto"/>
              </w:rPr>
              <w:t>holdermeeting.com/WBTN2026</w:t>
            </w:r>
          </w:p>
        </w:tc>
        <w:tc>
          <w:tcPr>
            <w:tcW w:w="3820" w:type="dxa"/>
            <w:vAlign w:val="bottom"/>
          </w:tcPr>
          <w:p>
            <w:pPr>
              <w:spacing w:after="0"/>
              <w:rPr>
                <w:sz w:val="17"/>
                <w:szCs w:val="17"/>
                <w:color w:val="auto"/>
              </w:rPr>
            </w:pPr>
          </w:p>
        </w:tc>
      </w:tr>
      <w:tr>
        <w:trPr>
          <w:trHeight w:val="129"/>
        </w:trPr>
        <w:tc>
          <w:tcPr>
            <w:tcW w:w="4040" w:type="dxa"/>
            <w:vAlign w:val="bottom"/>
            <w:tcBorders>
              <w:bottom w:val="single" w:sz="8" w:color="auto"/>
            </w:tcBorders>
          </w:tcPr>
          <w:p>
            <w:pPr>
              <w:spacing w:after="0"/>
              <w:rPr>
                <w:sz w:val="11"/>
                <w:szCs w:val="11"/>
                <w:color w:val="auto"/>
              </w:rPr>
            </w:pPr>
          </w:p>
        </w:tc>
        <w:tc>
          <w:tcPr>
            <w:tcW w:w="3380" w:type="dxa"/>
            <w:vAlign w:val="bottom"/>
            <w:tcBorders>
              <w:bottom w:val="single" w:sz="8" w:color="auto"/>
            </w:tcBorders>
          </w:tcPr>
          <w:p>
            <w:pPr>
              <w:spacing w:after="0"/>
              <w:rPr>
                <w:sz w:val="11"/>
                <w:szCs w:val="11"/>
                <w:color w:val="auto"/>
              </w:rPr>
            </w:pPr>
          </w:p>
        </w:tc>
        <w:tc>
          <w:tcPr>
            <w:tcW w:w="3820" w:type="dxa"/>
            <w:vAlign w:val="bottom"/>
            <w:tcBorders>
              <w:bottom w:val="single" w:sz="8" w:color="auto"/>
            </w:tcBorders>
          </w:tcPr>
          <w:p>
            <w:pPr>
              <w:spacing w:after="0"/>
              <w:rPr>
                <w:sz w:val="11"/>
                <w:szCs w:val="11"/>
                <w:color w:val="auto"/>
              </w:rPr>
            </w:pPr>
          </w:p>
        </w:tc>
      </w:tr>
    </w:tbl>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The 2026 Annual Meeting of stockholders of WEBTOON Entertainment Inc. (“WEBTOON” or the “Company”) will be held virtually on Wednesday, June 3, 2026, at 4:00 p.m.</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Pacific Daylight Time via live webcast (the “Annual Meeting”).</w:t>
      </w:r>
    </w:p>
    <w:p>
      <w:pPr>
        <w:spacing w:after="0" w:line="150" w:lineRule="exact"/>
        <w:rPr>
          <w:sz w:val="20"/>
          <w:szCs w:val="20"/>
          <w:color w:val="auto"/>
        </w:rPr>
      </w:pPr>
    </w:p>
    <w:p>
      <w:pPr>
        <w:ind w:right="20"/>
        <w:spacing w:after="0" w:line="307" w:lineRule="auto"/>
        <w:rPr>
          <w:sz w:val="20"/>
          <w:szCs w:val="20"/>
          <w:color w:val="auto"/>
        </w:rPr>
      </w:pPr>
      <w:r>
        <w:rPr>
          <w:rFonts w:ascii="Arial" w:cs="Arial" w:eastAsia="Arial" w:hAnsi="Arial"/>
          <w:sz w:val="14"/>
          <w:szCs w:val="14"/>
          <w:color w:val="auto"/>
        </w:rPr>
        <w:t>The webcast is designed to provide stockholders the opportunity to participate virtually to facilitate stockholder attendance and to provide a consistent experience to all stockholders, regardless of location. You will be able to attend the Annual Meeting, vote, and submit questions virtually via live webcast by visiting http://www.virtualshareholdermeeting.com/WBTN2026. To be admitted to the Annual Meeting webcast, you must enter the 16-digit control number found on the proxy card, voter instruction form or notice of internet availability you received. For further information on Annual Meeting logistics, see the section titled “Commonly Asked Questions and Answers About the Annual Meeting.”</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proxy statement (the “Proxy Statement”) provides information about the matters we will ask you to consider at the Annual Meeting, which are:</w:t>
      </w:r>
    </w:p>
    <w:p>
      <w:pPr>
        <w:sectPr>
          <w:pgSz w:w="11900" w:h="16838" w:orient="portrait"/>
          <w:cols w:equalWidth="0" w:num="1">
            <w:col w:w="11240"/>
          </w:cols>
          <w:pgMar w:left="320" w:top="1404" w:right="339" w:bottom="1440" w:gutter="0" w:footer="0" w:header="0"/>
        </w:sectPr>
      </w:pPr>
    </w:p>
    <w:p>
      <w:pPr>
        <w:spacing w:after="0" w:line="169" w:lineRule="exact"/>
        <w:rPr>
          <w:sz w:val="20"/>
          <w:szCs w:val="20"/>
          <w:color w:val="auto"/>
        </w:rPr>
      </w:pPr>
    </w:p>
    <w:p>
      <w:pPr>
        <w:ind w:left="360"/>
        <w:spacing w:after="0"/>
        <w:rPr>
          <w:sz w:val="20"/>
          <w:szCs w:val="20"/>
          <w:color w:val="auto"/>
        </w:rPr>
      </w:pPr>
      <w:r>
        <w:rPr>
          <w:rFonts w:ascii="Arial" w:cs="Arial" w:eastAsia="Arial" w:hAnsi="Arial"/>
          <w:sz w:val="32"/>
          <w:szCs w:val="32"/>
          <w:b w:val="1"/>
          <w:bCs w:val="1"/>
          <w:color w:val="00DC64"/>
        </w:rPr>
        <w:t>1</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32"/>
          <w:szCs w:val="32"/>
          <w:b w:val="1"/>
          <w:bCs w:val="1"/>
          <w:color w:val="00DC64"/>
        </w:rPr>
        <w:t>2</w:t>
      </w:r>
    </w:p>
    <w:p>
      <w:pPr>
        <w:spacing w:after="0" w:line="78" w:lineRule="exact"/>
        <w:rPr>
          <w:sz w:val="20"/>
          <w:szCs w:val="20"/>
          <w:color w:val="auto"/>
        </w:rPr>
      </w:pPr>
    </w:p>
    <w:p>
      <w:pPr>
        <w:ind w:left="360"/>
        <w:spacing w:after="0"/>
        <w:rPr>
          <w:sz w:val="20"/>
          <w:szCs w:val="20"/>
          <w:color w:val="auto"/>
        </w:rPr>
      </w:pPr>
      <w:r>
        <w:rPr>
          <w:rFonts w:ascii="Arial" w:cs="Arial" w:eastAsia="Arial" w:hAnsi="Arial"/>
          <w:sz w:val="32"/>
          <w:szCs w:val="32"/>
          <w:b w:val="1"/>
          <w:bCs w:val="1"/>
          <w:color w:val="00DC64"/>
        </w:rPr>
        <w:t>3</w:t>
      </w:r>
    </w:p>
    <w:p>
      <w:pPr>
        <w:spacing w:after="0" w:line="78" w:lineRule="exact"/>
        <w:rPr>
          <w:sz w:val="20"/>
          <w:szCs w:val="20"/>
          <w:color w:val="auto"/>
        </w:rPr>
      </w:pPr>
    </w:p>
    <w:p>
      <w:pPr>
        <w:ind w:left="360"/>
        <w:spacing w:after="0"/>
        <w:rPr>
          <w:sz w:val="20"/>
          <w:szCs w:val="20"/>
          <w:color w:val="auto"/>
        </w:rPr>
      </w:pPr>
      <w:r>
        <w:rPr>
          <w:rFonts w:ascii="Arial" w:cs="Arial" w:eastAsia="Arial" w:hAnsi="Arial"/>
          <w:sz w:val="32"/>
          <w:szCs w:val="32"/>
          <w:b w:val="1"/>
          <w:bCs w:val="1"/>
          <w:color w:val="00DC64"/>
        </w:rPr>
        <w:t>4</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ind w:right="60"/>
        <w:spacing w:after="0" w:line="305" w:lineRule="auto"/>
        <w:rPr>
          <w:sz w:val="20"/>
          <w:szCs w:val="20"/>
          <w:color w:val="auto"/>
        </w:rPr>
      </w:pPr>
      <w:r>
        <w:rPr>
          <w:rFonts w:ascii="Arial" w:cs="Arial" w:eastAsia="Arial" w:hAnsi="Arial"/>
          <w:sz w:val="14"/>
          <w:szCs w:val="14"/>
          <w:color w:val="auto"/>
        </w:rPr>
        <w:t>to elect three nominees identified in the accompanying Proxy Statement to serve as Class II directors until the 2029 annual meeting of stockholders and until their successors are duly elected and qualified;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-278765</wp:posOffset>
            </wp:positionV>
            <wp:extent cx="7132320" cy="2825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82575"/>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color w:val="auto"/>
        </w:rPr>
        <w:t>to approve, on an advisory, non-binding basis, the compensation paid to the Company’s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100965</wp:posOffset>
            </wp:positionV>
            <wp:extent cx="7132320" cy="2825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82575"/>
                    </a:xfrm>
                    <a:prstGeom prst="rect">
                      <a:avLst/>
                    </a:prstGeom>
                    <a:noFill/>
                  </pic:spPr>
                </pic:pic>
              </a:graphicData>
            </a:graphic>
          </wp:anchor>
        </w:drawing>
      </w:r>
    </w:p>
    <w:p>
      <w:pPr>
        <w:spacing w:after="0" w:line="170" w:lineRule="exact"/>
        <w:rPr>
          <w:sz w:val="20"/>
          <w:szCs w:val="20"/>
          <w:color w:val="auto"/>
        </w:rPr>
      </w:pPr>
    </w:p>
    <w:p>
      <w:pPr>
        <w:ind w:right="260"/>
        <w:spacing w:after="0" w:line="305" w:lineRule="auto"/>
        <w:rPr>
          <w:sz w:val="20"/>
          <w:szCs w:val="20"/>
          <w:color w:val="auto"/>
        </w:rPr>
      </w:pPr>
      <w:r>
        <w:rPr>
          <w:rFonts w:ascii="Arial" w:cs="Arial" w:eastAsia="Arial" w:hAnsi="Arial"/>
          <w:sz w:val="14"/>
          <w:szCs w:val="14"/>
          <w:color w:val="auto"/>
        </w:rPr>
        <w:t>to ratify the appointment of Samil PricewaterhouseCoopers as the Company’s independent registered public accounting firm for the year ending December 31, 2026; and</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to transact other business as may properly come before the meeting or any adjournment of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100965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79" w:lineRule="exact"/>
        <w:rPr>
          <w:sz w:val="20"/>
          <w:szCs w:val="20"/>
          <w:color w:val="auto"/>
        </w:rPr>
      </w:pPr>
    </w:p>
    <w:p>
      <w:pPr>
        <w:sectPr>
          <w:pgSz w:w="11900" w:h="16838" w:orient="portrait"/>
          <w:cols w:equalWidth="0" w:num="2">
            <w:col w:w="540" w:space="360"/>
            <w:col w:w="10340"/>
          </w:cols>
          <w:pgMar w:left="320" w:top="1404" w:right="339" w:bottom="1440" w:gutter="0" w:footer="0" w:header="0"/>
          <w:type w:val="continuous"/>
        </w:sectPr>
      </w:pPr>
    </w:p>
    <w:p>
      <w:pPr>
        <w:spacing w:after="0" w:line="99" w:lineRule="exact"/>
        <w:rPr>
          <w:sz w:val="20"/>
          <w:szCs w:val="20"/>
          <w:color w:val="auto"/>
        </w:rPr>
      </w:pPr>
    </w:p>
    <w:p>
      <w:pPr>
        <w:jc w:val="both"/>
        <w:ind w:right="20"/>
        <w:spacing w:after="0" w:line="323" w:lineRule="auto"/>
        <w:rPr>
          <w:sz w:val="20"/>
          <w:szCs w:val="20"/>
          <w:color w:val="auto"/>
        </w:rPr>
      </w:pPr>
      <w:r>
        <w:rPr>
          <w:rFonts w:ascii="Arial" w:cs="Arial" w:eastAsia="Arial" w:hAnsi="Arial"/>
          <w:sz w:val="14"/>
          <w:szCs w:val="14"/>
          <w:color w:val="auto"/>
        </w:rPr>
        <w:t>Stockholders of record as of the close of business on April 10, 2026, are entitled to vote. A list of stockholders entitled to vote at the meeting will be available for examination by any stockholder for any purpose relevant to the meeting during ordinary business hours for at least ten days prior to the date of the Annual Meeting, at 5700 Wilshire Blvd., Suite 220, Los Angeles, California 90036.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132320" cy="8572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57250"/>
                    </a:xfrm>
                    <a:prstGeom prst="rect">
                      <a:avLst/>
                    </a:prstGeom>
                    <a:noFill/>
                  </pic:spPr>
                </pic:pic>
              </a:graphicData>
            </a:graphic>
          </wp:anchor>
        </w:drawing>
      </w:r>
    </w:p>
    <w:p>
      <w:pPr>
        <w:spacing w:after="0" w:line="261" w:lineRule="exact"/>
        <w:rPr>
          <w:sz w:val="20"/>
          <w:szCs w:val="20"/>
          <w:color w:val="auto"/>
        </w:rPr>
      </w:pPr>
    </w:p>
    <w:p>
      <w:pPr>
        <w:ind w:left="380" w:right="440"/>
        <w:spacing w:after="0" w:line="301" w:lineRule="auto"/>
        <w:rPr>
          <w:sz w:val="20"/>
          <w:szCs w:val="20"/>
          <w:color w:val="auto"/>
        </w:rPr>
      </w:pPr>
      <w:r>
        <w:rPr>
          <w:rFonts w:ascii="Arial" w:cs="Arial" w:eastAsia="Arial" w:hAnsi="Arial"/>
          <w:sz w:val="14"/>
          <w:szCs w:val="14"/>
          <w:b w:val="1"/>
          <w:bCs w:val="1"/>
          <w:color w:val="auto"/>
        </w:rPr>
        <w:t>IMPORTANT NOTICE REGARDING THE AVAILABILITY OF PROXY MATERIALS FOR THE ANNUAL MEETING OF STOCKHOLDERS TO BE HELD ON JUNE 3, 2026</w:t>
      </w:r>
    </w:p>
    <w:p>
      <w:pPr>
        <w:spacing w:after="0" w:line="1" w:lineRule="exact"/>
        <w:rPr>
          <w:sz w:val="20"/>
          <w:szCs w:val="20"/>
          <w:color w:val="auto"/>
        </w:rPr>
      </w:pPr>
    </w:p>
    <w:p>
      <w:pPr>
        <w:ind w:left="380" w:right="700"/>
        <w:spacing w:after="0" w:line="325" w:lineRule="auto"/>
        <w:rPr>
          <w:sz w:val="20"/>
          <w:szCs w:val="20"/>
          <w:color w:val="auto"/>
        </w:rPr>
      </w:pPr>
      <w:r>
        <w:rPr>
          <w:rFonts w:ascii="Arial" w:cs="Arial" w:eastAsia="Arial" w:hAnsi="Arial"/>
          <w:sz w:val="14"/>
          <w:szCs w:val="14"/>
          <w:color w:val="auto"/>
        </w:rPr>
        <w:t>The notice of Annual Meeting, the Proxy Statement and our Annual Report on Form 10-K for the year ended December 31, 2025 are available on our website at https://ir.webtoon.com. Additionally, you may access our proxy materials at www.ProxyVote.com.</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4"/>
          <w:szCs w:val="14"/>
          <w:color w:val="auto"/>
        </w:rPr>
        <w:t>The Notice of Internet Availability of proxy materials is first being delivered to the Company’s stockholders of record on or about April 22, 2026.</w:t>
      </w:r>
    </w:p>
    <w:p>
      <w:pPr>
        <w:spacing w:after="0" w:line="150" w:lineRule="exact"/>
        <w:rPr>
          <w:sz w:val="20"/>
          <w:szCs w:val="20"/>
          <w:color w:val="auto"/>
        </w:rPr>
      </w:pPr>
    </w:p>
    <w:p>
      <w:pPr>
        <w:ind w:right="300"/>
        <w:spacing w:after="0" w:line="345" w:lineRule="auto"/>
        <w:rPr>
          <w:sz w:val="20"/>
          <w:szCs w:val="20"/>
          <w:color w:val="auto"/>
        </w:rPr>
      </w:pPr>
      <w:r>
        <w:rPr>
          <w:rFonts w:ascii="Arial" w:cs="Arial" w:eastAsia="Arial" w:hAnsi="Arial"/>
          <w:sz w:val="14"/>
          <w:szCs w:val="14"/>
          <w:color w:val="auto"/>
        </w:rPr>
        <w:t>Every stockholder vote is important. Even if you plan to attend the Annual Meeting, we encourage you to vote promptly online, by telephone, or, if you received or requested paper copies of your proxy materials, by signing, dating, and returning your proxy card by mail, so that a quorum may be represented at the meeting.</w:t>
      </w:r>
    </w:p>
    <w:p>
      <w:pPr>
        <w:spacing w:after="0" w:line="50" w:lineRule="exact"/>
        <w:rPr>
          <w:sz w:val="20"/>
          <w:szCs w:val="20"/>
          <w:color w:val="auto"/>
        </w:rPr>
      </w:pPr>
    </w:p>
    <w:p>
      <w:pPr>
        <w:spacing w:after="0"/>
        <w:rPr>
          <w:sz w:val="20"/>
          <w:szCs w:val="20"/>
          <w:color w:val="auto"/>
        </w:rPr>
      </w:pPr>
      <w:r>
        <w:rPr>
          <w:rFonts w:ascii="Arial" w:cs="Arial" w:eastAsia="Arial" w:hAnsi="Arial"/>
          <w:sz w:val="14"/>
          <w:szCs w:val="14"/>
          <w:color w:val="auto"/>
        </w:rPr>
        <w:t>By Order of the Board of Directors,</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color w:val="00DC64"/>
        </w:rPr>
        <w:t>Maximilian Jo</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General Counsel and Corporate Secretary</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April 22,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542290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53"/>
          <w:szCs w:val="53"/>
          <w:b w:val="1"/>
          <w:bCs w:val="1"/>
          <w:color w:val="00DC64"/>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0500" w:type="dxa"/>
            <w:vAlign w:val="bottom"/>
          </w:tcPr>
          <w:p>
            <w:pPr>
              <w:ind w:left="20"/>
              <w:spacing w:after="0"/>
              <w:rPr>
                <w:sz w:val="20"/>
                <w:szCs w:val="20"/>
                <w:color w:val="auto"/>
              </w:rPr>
            </w:pPr>
            <w:r>
              <w:rPr>
                <w:rFonts w:ascii="Arial" w:cs="Arial" w:eastAsia="Arial" w:hAnsi="Arial"/>
                <w:sz w:val="16"/>
                <w:szCs w:val="16"/>
                <w:color w:val="auto"/>
              </w:rPr>
              <w:t>COMMONLY ASKED QUESTIONS AND ANSWERS ABOUT THE ANNUAL MEETING</w:t>
            </w:r>
          </w:p>
        </w:tc>
        <w:tc>
          <w:tcPr>
            <w:tcW w:w="74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43"/>
        </w:trPr>
        <w:tc>
          <w:tcPr>
            <w:tcW w:w="10500" w:type="dxa"/>
            <w:vAlign w:val="bottom"/>
          </w:tcPr>
          <w:p>
            <w:pPr>
              <w:ind w:left="20"/>
              <w:spacing w:after="0"/>
              <w:rPr>
                <w:sz w:val="20"/>
                <w:szCs w:val="20"/>
                <w:color w:val="auto"/>
              </w:rPr>
            </w:pPr>
            <w:r>
              <w:rPr>
                <w:rFonts w:ascii="Arial" w:cs="Arial" w:eastAsia="Arial" w:hAnsi="Arial"/>
                <w:sz w:val="16"/>
                <w:szCs w:val="16"/>
                <w:color w:val="auto"/>
              </w:rPr>
              <w:t>BOARD OF DIRECTORS AND CORPORATE GOVERNANCE</w:t>
            </w:r>
          </w:p>
        </w:tc>
        <w:tc>
          <w:tcPr>
            <w:tcW w:w="74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51"/>
        </w:trPr>
        <w:tc>
          <w:tcPr>
            <w:tcW w:w="10500" w:type="dxa"/>
            <w:vAlign w:val="bottom"/>
          </w:tcPr>
          <w:p>
            <w:pPr>
              <w:ind w:left="20"/>
              <w:spacing w:after="0"/>
              <w:rPr>
                <w:sz w:val="20"/>
                <w:szCs w:val="20"/>
                <w:color w:val="auto"/>
              </w:rPr>
            </w:pPr>
            <w:r>
              <w:rPr>
                <w:rFonts w:ascii="Arial" w:cs="Arial" w:eastAsia="Arial" w:hAnsi="Arial"/>
                <w:sz w:val="16"/>
                <w:szCs w:val="16"/>
                <w:b w:val="1"/>
                <w:bCs w:val="1"/>
                <w:color w:val="00DC64"/>
              </w:rPr>
              <w:t>PROPOSAL 1 - ELECTION OF DIRECTORS</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00DC64"/>
              </w:rPr>
              <w:t>9</w:t>
            </w:r>
          </w:p>
        </w:tc>
        <w:tc>
          <w:tcPr>
            <w:tcW w:w="0" w:type="dxa"/>
            <w:vAlign w:val="bottom"/>
          </w:tcPr>
          <w:p>
            <w:pPr>
              <w:spacing w:after="0"/>
              <w:rPr>
                <w:sz w:val="1"/>
                <w:szCs w:val="1"/>
                <w:color w:val="auto"/>
              </w:rPr>
            </w:pPr>
          </w:p>
        </w:tc>
      </w:tr>
      <w:tr>
        <w:trPr>
          <w:trHeight w:val="235"/>
        </w:trPr>
        <w:tc>
          <w:tcPr>
            <w:tcW w:w="10500" w:type="dxa"/>
            <w:vAlign w:val="bottom"/>
          </w:tcPr>
          <w:p>
            <w:pPr>
              <w:ind w:left="20"/>
              <w:spacing w:after="0"/>
              <w:rPr>
                <w:sz w:val="20"/>
                <w:szCs w:val="20"/>
                <w:color w:val="auto"/>
              </w:rPr>
            </w:pPr>
            <w:r>
              <w:rPr>
                <w:rFonts w:ascii="Arial" w:cs="Arial" w:eastAsia="Arial" w:hAnsi="Arial"/>
                <w:sz w:val="16"/>
                <w:szCs w:val="16"/>
                <w:color w:val="auto"/>
              </w:rPr>
              <w:t>EXECUTIVE OFFICERS</w:t>
            </w:r>
          </w:p>
        </w:tc>
        <w:tc>
          <w:tcPr>
            <w:tcW w:w="74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43"/>
        </w:trPr>
        <w:tc>
          <w:tcPr>
            <w:tcW w:w="10500" w:type="dxa"/>
            <w:vAlign w:val="bottom"/>
          </w:tcPr>
          <w:p>
            <w:pPr>
              <w:ind w:left="20"/>
              <w:spacing w:after="0"/>
              <w:rPr>
                <w:sz w:val="20"/>
                <w:szCs w:val="20"/>
                <w:color w:val="auto"/>
              </w:rPr>
            </w:pPr>
            <w:r>
              <w:rPr>
                <w:rFonts w:ascii="Arial" w:cs="Arial" w:eastAsia="Arial" w:hAnsi="Arial"/>
                <w:sz w:val="16"/>
                <w:szCs w:val="16"/>
                <w:color w:val="auto"/>
              </w:rPr>
              <w:t>EXECUTIVE COMPENSATION</w:t>
            </w:r>
          </w:p>
        </w:tc>
        <w:tc>
          <w:tcPr>
            <w:tcW w:w="740" w:type="dxa"/>
            <w:vAlign w:val="bottom"/>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43"/>
        </w:trPr>
        <w:tc>
          <w:tcPr>
            <w:tcW w:w="10500" w:type="dxa"/>
            <w:vAlign w:val="bottom"/>
          </w:tcPr>
          <w:p>
            <w:pPr>
              <w:ind w:left="20"/>
              <w:spacing w:after="0"/>
              <w:rPr>
                <w:sz w:val="20"/>
                <w:szCs w:val="20"/>
                <w:color w:val="auto"/>
              </w:rPr>
            </w:pPr>
            <w:r>
              <w:rPr>
                <w:rFonts w:ascii="Arial" w:cs="Arial" w:eastAsia="Arial" w:hAnsi="Arial"/>
                <w:sz w:val="16"/>
                <w:szCs w:val="16"/>
                <w:color w:val="auto"/>
              </w:rPr>
              <w:t>DIRECTOR COMPENSATION</w:t>
            </w:r>
          </w:p>
        </w:tc>
        <w:tc>
          <w:tcPr>
            <w:tcW w:w="740" w:type="dxa"/>
            <w:vAlign w:val="bottom"/>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43"/>
        </w:trPr>
        <w:tc>
          <w:tcPr>
            <w:tcW w:w="10500" w:type="dxa"/>
            <w:vAlign w:val="bottom"/>
          </w:tcPr>
          <w:p>
            <w:pPr>
              <w:ind w:left="20"/>
              <w:spacing w:after="0"/>
              <w:rPr>
                <w:sz w:val="20"/>
                <w:szCs w:val="20"/>
                <w:color w:val="auto"/>
              </w:rPr>
            </w:pPr>
            <w:r>
              <w:rPr>
                <w:rFonts w:ascii="Arial" w:cs="Arial" w:eastAsia="Arial" w:hAnsi="Arial"/>
                <w:sz w:val="16"/>
                <w:szCs w:val="16"/>
                <w:color w:val="auto"/>
              </w:rPr>
              <w:t>CERTAIN RELATIONSHIPS AND RELATED PARTY TRANSACTIONS</w:t>
            </w:r>
          </w:p>
        </w:tc>
        <w:tc>
          <w:tcPr>
            <w:tcW w:w="740" w:type="dxa"/>
            <w:vAlign w:val="bottom"/>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43"/>
        </w:trPr>
        <w:tc>
          <w:tcPr>
            <w:tcW w:w="10500" w:type="dxa"/>
            <w:vAlign w:val="bottom"/>
          </w:tcPr>
          <w:p>
            <w:pPr>
              <w:ind w:left="20"/>
              <w:spacing w:after="0"/>
              <w:rPr>
                <w:sz w:val="20"/>
                <w:szCs w:val="20"/>
                <w:color w:val="auto"/>
              </w:rPr>
            </w:pPr>
            <w:r>
              <w:rPr>
                <w:rFonts w:ascii="Arial" w:cs="Arial" w:eastAsia="Arial" w:hAnsi="Arial"/>
                <w:sz w:val="16"/>
                <w:szCs w:val="16"/>
                <w:color w:val="auto"/>
              </w:rPr>
              <w:t>EQUITY COMPENSATION PLAN INFORMATION</w:t>
            </w:r>
          </w:p>
        </w:tc>
        <w:tc>
          <w:tcPr>
            <w:tcW w:w="740" w:type="dxa"/>
            <w:vAlign w:val="bottom"/>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43"/>
        </w:trPr>
        <w:tc>
          <w:tcPr>
            <w:tcW w:w="10500" w:type="dxa"/>
            <w:vAlign w:val="bottom"/>
          </w:tcPr>
          <w:p>
            <w:pPr>
              <w:ind w:left="20"/>
              <w:spacing w:after="0"/>
              <w:rPr>
                <w:sz w:val="20"/>
                <w:szCs w:val="20"/>
                <w:color w:val="auto"/>
              </w:rPr>
            </w:pPr>
            <w:r>
              <w:rPr>
                <w:rFonts w:ascii="Arial" w:cs="Arial" w:eastAsia="Arial" w:hAnsi="Arial"/>
                <w:sz w:val="16"/>
                <w:szCs w:val="16"/>
                <w:color w:val="auto"/>
              </w:rPr>
              <w:t>SECURITY OWNERSHIP OF CERTAIN BENEFICIAL OWNERS AND MANAGEMENT</w:t>
            </w:r>
          </w:p>
        </w:tc>
        <w:tc>
          <w:tcPr>
            <w:tcW w:w="740" w:type="dxa"/>
            <w:vAlign w:val="bottom"/>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17"/>
        </w:trPr>
        <w:tc>
          <w:tcPr>
            <w:tcW w:w="10500" w:type="dxa"/>
            <w:vAlign w:val="bottom"/>
          </w:tcPr>
          <w:p>
            <w:pPr>
              <w:ind w:left="20"/>
              <w:spacing w:after="0"/>
              <w:rPr>
                <w:sz w:val="20"/>
                <w:szCs w:val="20"/>
                <w:color w:val="auto"/>
              </w:rPr>
            </w:pPr>
            <w:r>
              <w:rPr>
                <w:rFonts w:ascii="Arial" w:cs="Arial" w:eastAsia="Arial" w:hAnsi="Arial"/>
                <w:sz w:val="16"/>
                <w:szCs w:val="16"/>
                <w:b w:val="1"/>
                <w:bCs w:val="1"/>
                <w:color w:val="00DC64"/>
              </w:rPr>
              <w:t>PROPOSAL 2 - APPROVAL OF, ON AN ADVISORY, NON-BINDING BASIS, THE COMPENSATION PAID TO THE COMPANY’S NAMED</w:t>
            </w:r>
          </w:p>
        </w:tc>
        <w:tc>
          <w:tcPr>
            <w:tcW w:w="740" w:type="dxa"/>
            <w:vAlign w:val="bottom"/>
            <w:vMerge w:val="restart"/>
          </w:tcPr>
          <w:p>
            <w:pPr>
              <w:jc w:val="right"/>
              <w:spacing w:after="0"/>
              <w:rPr>
                <w:sz w:val="20"/>
                <w:szCs w:val="20"/>
                <w:color w:val="auto"/>
              </w:rPr>
            </w:pPr>
            <w:r>
              <w:rPr>
                <w:rFonts w:ascii="Arial" w:cs="Arial" w:eastAsia="Arial" w:hAnsi="Arial"/>
                <w:sz w:val="16"/>
                <w:szCs w:val="16"/>
                <w:b w:val="1"/>
                <w:bCs w:val="1"/>
                <w:color w:val="00DC64"/>
              </w:rPr>
              <w:t>52</w:t>
            </w:r>
          </w:p>
        </w:tc>
        <w:tc>
          <w:tcPr>
            <w:tcW w:w="0" w:type="dxa"/>
            <w:vAlign w:val="bottom"/>
          </w:tcPr>
          <w:p>
            <w:pPr>
              <w:spacing w:after="0"/>
              <w:rPr>
                <w:sz w:val="1"/>
                <w:szCs w:val="1"/>
                <w:color w:val="auto"/>
              </w:rPr>
            </w:pPr>
          </w:p>
        </w:tc>
      </w:tr>
      <w:tr>
        <w:trPr>
          <w:trHeight w:val="128"/>
        </w:trPr>
        <w:tc>
          <w:tcPr>
            <w:tcW w:w="10500" w:type="dxa"/>
            <w:vAlign w:val="bottom"/>
            <w:vMerge w:val="restart"/>
          </w:tcPr>
          <w:p>
            <w:pPr>
              <w:ind w:left="20"/>
              <w:spacing w:after="0"/>
              <w:rPr>
                <w:sz w:val="20"/>
                <w:szCs w:val="20"/>
                <w:color w:val="auto"/>
              </w:rPr>
            </w:pPr>
            <w:r>
              <w:rPr>
                <w:rFonts w:ascii="Arial" w:cs="Arial" w:eastAsia="Arial" w:hAnsi="Arial"/>
                <w:sz w:val="16"/>
                <w:szCs w:val="16"/>
                <w:b w:val="1"/>
                <w:bCs w:val="1"/>
                <w:color w:val="00DC64"/>
              </w:rPr>
              <w:t>EXECUTIVE OFFICERS</w:t>
            </w: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10500" w:type="dxa"/>
            <w:vAlign w:val="bottom"/>
            <w:vMerge w:val="continue"/>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7"/>
        </w:trPr>
        <w:tc>
          <w:tcPr>
            <w:tcW w:w="10500" w:type="dxa"/>
            <w:vAlign w:val="bottom"/>
          </w:tcPr>
          <w:p>
            <w:pPr>
              <w:ind w:left="20"/>
              <w:spacing w:after="0"/>
              <w:rPr>
                <w:sz w:val="20"/>
                <w:szCs w:val="20"/>
                <w:color w:val="auto"/>
              </w:rPr>
            </w:pPr>
            <w:r>
              <w:rPr>
                <w:rFonts w:ascii="Arial" w:cs="Arial" w:eastAsia="Arial" w:hAnsi="Arial"/>
                <w:sz w:val="16"/>
                <w:szCs w:val="16"/>
                <w:b w:val="1"/>
                <w:bCs w:val="1"/>
                <w:color w:val="00DC64"/>
              </w:rPr>
              <w:t>PROPOSAL 3 - RATIFICATION OF APPOINTMENT OF INDEPENDENT REGISTERED PUBLIC ACCOUNTING FIRM</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00DC64"/>
              </w:rPr>
              <w:t>53</w:t>
            </w:r>
          </w:p>
        </w:tc>
        <w:tc>
          <w:tcPr>
            <w:tcW w:w="0" w:type="dxa"/>
            <w:vAlign w:val="bottom"/>
          </w:tcPr>
          <w:p>
            <w:pPr>
              <w:spacing w:after="0"/>
              <w:rPr>
                <w:sz w:val="1"/>
                <w:szCs w:val="1"/>
                <w:color w:val="auto"/>
              </w:rPr>
            </w:pPr>
          </w:p>
        </w:tc>
      </w:tr>
      <w:tr>
        <w:trPr>
          <w:trHeight w:val="235"/>
        </w:trPr>
        <w:tc>
          <w:tcPr>
            <w:tcW w:w="10500" w:type="dxa"/>
            <w:vAlign w:val="bottom"/>
          </w:tcPr>
          <w:p>
            <w:pPr>
              <w:ind w:left="20"/>
              <w:spacing w:after="0"/>
              <w:rPr>
                <w:sz w:val="20"/>
                <w:szCs w:val="20"/>
                <w:color w:val="auto"/>
              </w:rPr>
            </w:pPr>
            <w:r>
              <w:rPr>
                <w:rFonts w:ascii="Arial" w:cs="Arial" w:eastAsia="Arial" w:hAnsi="Arial"/>
                <w:sz w:val="16"/>
                <w:szCs w:val="16"/>
                <w:color w:val="auto"/>
              </w:rPr>
              <w:t>REPORT OF THE AUDIT COMMITTEE</w:t>
            </w:r>
          </w:p>
        </w:tc>
        <w:tc>
          <w:tcPr>
            <w:tcW w:w="740" w:type="dxa"/>
            <w:vAlign w:val="bottom"/>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43"/>
        </w:trPr>
        <w:tc>
          <w:tcPr>
            <w:tcW w:w="10500" w:type="dxa"/>
            <w:vAlign w:val="bottom"/>
          </w:tcPr>
          <w:p>
            <w:pPr>
              <w:ind w:left="20"/>
              <w:spacing w:after="0"/>
              <w:rPr>
                <w:sz w:val="20"/>
                <w:szCs w:val="20"/>
                <w:color w:val="auto"/>
              </w:rPr>
            </w:pPr>
            <w:r>
              <w:rPr>
                <w:rFonts w:ascii="Arial" w:cs="Arial" w:eastAsia="Arial" w:hAnsi="Arial"/>
                <w:sz w:val="16"/>
                <w:szCs w:val="16"/>
                <w:color w:val="auto"/>
              </w:rPr>
              <w:t>OTHER MATTERS</w:t>
            </w:r>
          </w:p>
        </w:tc>
        <w:tc>
          <w:tcPr>
            <w:tcW w:w="740" w:type="dxa"/>
            <w:vAlign w:val="bottom"/>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43"/>
        </w:trPr>
        <w:tc>
          <w:tcPr>
            <w:tcW w:w="10500" w:type="dxa"/>
            <w:vAlign w:val="bottom"/>
          </w:tcPr>
          <w:p>
            <w:pPr>
              <w:ind w:left="20"/>
              <w:spacing w:after="0"/>
              <w:rPr>
                <w:sz w:val="20"/>
                <w:szCs w:val="20"/>
                <w:color w:val="auto"/>
              </w:rPr>
            </w:pPr>
            <w:r>
              <w:rPr>
                <w:rFonts w:ascii="Arial" w:cs="Arial" w:eastAsia="Arial" w:hAnsi="Arial"/>
                <w:sz w:val="16"/>
                <w:szCs w:val="16"/>
                <w:color w:val="auto"/>
              </w:rPr>
              <w:t>WHERE TO FIND ADDITIONAL INFORMATION</w:t>
            </w:r>
          </w:p>
        </w:tc>
        <w:tc>
          <w:tcPr>
            <w:tcW w:w="740" w:type="dxa"/>
            <w:vAlign w:val="bottom"/>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43"/>
        </w:trPr>
        <w:tc>
          <w:tcPr>
            <w:tcW w:w="10500" w:type="dxa"/>
            <w:vAlign w:val="bottom"/>
          </w:tcPr>
          <w:p>
            <w:pPr>
              <w:ind w:left="20"/>
              <w:spacing w:after="0"/>
              <w:rPr>
                <w:sz w:val="20"/>
                <w:szCs w:val="20"/>
                <w:color w:val="auto"/>
              </w:rPr>
            </w:pPr>
            <w:r>
              <w:rPr>
                <w:rFonts w:ascii="Arial" w:cs="Arial" w:eastAsia="Arial" w:hAnsi="Arial"/>
                <w:sz w:val="16"/>
                <w:szCs w:val="16"/>
                <w:color w:val="auto"/>
              </w:rPr>
              <w:t>APPENDIX A: NON-GAAP FINANCIAL MEASURES</w:t>
            </w:r>
          </w:p>
        </w:tc>
        <w:tc>
          <w:tcPr>
            <w:tcW w:w="740" w:type="dxa"/>
            <w:vAlign w:val="bottom"/>
          </w:tcPr>
          <w:p>
            <w:pPr>
              <w:jc w:val="right"/>
              <w:spacing w:after="0"/>
              <w:rPr>
                <w:sz w:val="20"/>
                <w:szCs w:val="20"/>
                <w:color w:val="auto"/>
              </w:rPr>
            </w:pPr>
            <w:r>
              <w:rPr>
                <w:rFonts w:ascii="Arial" w:cs="Arial" w:eastAsia="Arial" w:hAnsi="Arial"/>
                <w:sz w:val="16"/>
                <w:szCs w:val="16"/>
                <w:color w:val="auto"/>
              </w:rPr>
              <w:t>A-1</w:t>
            </w:r>
          </w:p>
        </w:tc>
        <w:tc>
          <w:tcPr>
            <w:tcW w:w="0" w:type="dxa"/>
            <w:vAlign w:val="bottom"/>
          </w:tcPr>
          <w:p>
            <w:pPr>
              <w:spacing w:after="0"/>
              <w:rPr>
                <w:sz w:val="1"/>
                <w:szCs w:val="1"/>
                <w:color w:val="auto"/>
              </w:rPr>
            </w:pPr>
          </w:p>
        </w:tc>
      </w:tr>
      <w:tr>
        <w:trPr>
          <w:trHeight w:val="1454"/>
        </w:trPr>
        <w:tc>
          <w:tcPr>
            <w:tcW w:w="105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type w:val="continuous"/>
        </w:sectPr>
      </w:pPr>
    </w:p>
    <w:bookmarkStart w:id="4" w:name="page5"/>
    <w:bookmarkEnd w:id="4"/>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380"/>
        <w:spacing w:after="0" w:line="299" w:lineRule="auto"/>
        <w:rPr>
          <w:sz w:val="20"/>
          <w:szCs w:val="20"/>
          <w:color w:val="auto"/>
        </w:rPr>
      </w:pPr>
      <w:r>
        <w:rPr>
          <w:rFonts w:ascii="Arial" w:cs="Arial" w:eastAsia="Arial" w:hAnsi="Arial"/>
          <w:sz w:val="54"/>
          <w:szCs w:val="54"/>
          <w:b w:val="1"/>
          <w:bCs w:val="1"/>
          <w:color w:val="00DC64"/>
        </w:rPr>
        <w:t>Commonly Asked Questions and Answers About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 Why did I receive these materials?</w:t>
      </w:r>
    </w:p>
    <w:p>
      <w:pPr>
        <w:spacing w:after="0" w:line="140"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The Board of Directors of the Company (the “Board”) is soliciting your proxy to vote at our 2026 Annual Meeting of Stockholders (or at any postponement or adjournment of the meeting, the “Annual Meeting”). Stockholders who own shares of our common stock as of the record date, April 10, 2026 (the “Record Date”), are entitled to vote at the Annual Meeting. You should review these proxy materials carefully as they give important information about the proposals that will be voted on at the Annual Meeting, as well as other important information about the Company.</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 Who will be entitled to vote?</w:t>
      </w:r>
    </w:p>
    <w:p>
      <w:pPr>
        <w:spacing w:after="0" w:line="154" w:lineRule="exact"/>
        <w:rPr>
          <w:sz w:val="20"/>
          <w:szCs w:val="20"/>
          <w:color w:val="auto"/>
        </w:rPr>
      </w:pPr>
    </w:p>
    <w:p>
      <w:pPr>
        <w:ind w:right="180"/>
        <w:spacing w:after="0" w:line="319" w:lineRule="auto"/>
        <w:rPr>
          <w:sz w:val="20"/>
          <w:szCs w:val="20"/>
          <w:color w:val="auto"/>
        </w:rPr>
      </w:pPr>
      <w:r>
        <w:rPr>
          <w:rFonts w:ascii="Arial" w:cs="Arial" w:eastAsia="Arial" w:hAnsi="Arial"/>
          <w:sz w:val="16"/>
          <w:szCs w:val="16"/>
          <w:color w:val="auto"/>
        </w:rPr>
        <w:t>Stockholders who own shares of our common stock as of the Record Date are entitled to vote at the Annual Meeting. As of the Record Date, the Company had 134,655,701 shares of common stock outstanding. Holders of shares of common stock are entitled to one vote per share. Cumulative voting is not permitted with respect to the election of directors or any other matter to be considered at the Annual Meeting.</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 What will I be voting on?</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You will be voting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4286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428625"/>
                    </a:xfrm>
                    <a:prstGeom prst="rect">
                      <a:avLst/>
                    </a:prstGeom>
                    <a:noFill/>
                  </pic:spPr>
                </pic:pic>
              </a:graphicData>
            </a:graphic>
          </wp:anchor>
        </w:drawing>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6"/>
          <w:szCs w:val="16"/>
          <w:color w:val="auto"/>
        </w:rPr>
        <w:t>the election of Namsun Kim, Jun Masuda and Isabelle Winkles as Class II directors to serve on the Board until the 2029 Annual Meeting and</w:t>
      </w:r>
    </w:p>
    <w:p>
      <w:pPr>
        <w:ind w:left="900" w:hanging="543"/>
        <w:spacing w:after="0" w:line="216" w:lineRule="auto"/>
        <w:tabs>
          <w:tab w:leader="none" w:pos="900" w:val="left"/>
        </w:tabs>
        <w:numPr>
          <w:ilvl w:val="0"/>
          <w:numId w:val="4"/>
        </w:numPr>
        <w:rPr>
          <w:rFonts w:ascii="Arial" w:cs="Arial" w:eastAsia="Arial" w:hAnsi="Arial"/>
          <w:sz w:val="32"/>
          <w:szCs w:val="32"/>
          <w:b w:val="1"/>
          <w:bCs w:val="1"/>
          <w:color w:val="00DC64"/>
        </w:rPr>
      </w:pPr>
      <w:r>
        <w:rPr>
          <w:rFonts w:ascii="Arial" w:cs="Arial" w:eastAsia="Arial" w:hAnsi="Arial"/>
          <w:sz w:val="16"/>
          <w:szCs w:val="16"/>
          <w:color w:val="auto"/>
        </w:rPr>
        <w:t>until their successors are duly elected and qualified;</w:t>
      </w:r>
    </w:p>
    <w:p>
      <w:pPr>
        <w:ind w:left="900" w:hanging="543"/>
        <w:spacing w:after="0" w:line="182" w:lineRule="auto"/>
        <w:tabs>
          <w:tab w:leader="none" w:pos="900" w:val="left"/>
        </w:tabs>
        <w:numPr>
          <w:ilvl w:val="0"/>
          <w:numId w:val="5"/>
        </w:numPr>
        <w:rPr>
          <w:rFonts w:ascii="Arial" w:cs="Arial" w:eastAsia="Arial" w:hAnsi="Arial"/>
          <w:sz w:val="51"/>
          <w:szCs w:val="51"/>
          <w:b w:val="1"/>
          <w:bCs w:val="1"/>
          <w:color w:val="00DC64"/>
          <w:vertAlign w:val="subscript"/>
        </w:rPr>
      </w:pPr>
      <w:r>
        <w:rPr>
          <w:rFonts w:ascii="Arial" w:cs="Arial" w:eastAsia="Arial" w:hAnsi="Arial"/>
          <w:sz w:val="15"/>
          <w:szCs w:val="15"/>
          <w:color w:val="auto"/>
        </w:rPr>
        <w:t>the approval of, on an advisory, non-binding basis, the compensation paid to the Company’s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4286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428625"/>
                    </a:xfrm>
                    <a:prstGeom prst="rect">
                      <a:avLst/>
                    </a:prstGeom>
                    <a:noFill/>
                  </pic:spPr>
                </pic:pic>
              </a:graphicData>
            </a:graphic>
          </wp:anchor>
        </w:drawing>
      </w:r>
    </w:p>
    <w:p>
      <w:pPr>
        <w:spacing w:after="0" w:line="141" w:lineRule="exact"/>
        <w:rPr>
          <w:sz w:val="20"/>
          <w:szCs w:val="20"/>
          <w:color w:val="auto"/>
        </w:rPr>
      </w:pPr>
    </w:p>
    <w:p>
      <w:pPr>
        <w:ind w:left="900"/>
        <w:spacing w:after="0"/>
        <w:rPr>
          <w:sz w:val="20"/>
          <w:szCs w:val="20"/>
          <w:color w:val="auto"/>
        </w:rPr>
      </w:pPr>
      <w:r>
        <w:rPr>
          <w:rFonts w:ascii="Arial" w:cs="Arial" w:eastAsia="Arial" w:hAnsi="Arial"/>
          <w:sz w:val="16"/>
          <w:szCs w:val="16"/>
          <w:color w:val="auto"/>
        </w:rPr>
        <w:t>the ratification of the appointment of Samil PricewaterhouseCoopers as the Company’s independent registered public accounting firm for the</w:t>
      </w:r>
    </w:p>
    <w:p>
      <w:pPr>
        <w:ind w:left="900" w:hanging="543"/>
        <w:spacing w:after="0" w:line="216" w:lineRule="auto"/>
        <w:tabs>
          <w:tab w:leader="none" w:pos="900" w:val="left"/>
        </w:tabs>
        <w:numPr>
          <w:ilvl w:val="0"/>
          <w:numId w:val="6"/>
        </w:numPr>
        <w:rPr>
          <w:rFonts w:ascii="Arial" w:cs="Arial" w:eastAsia="Arial" w:hAnsi="Arial"/>
          <w:sz w:val="32"/>
          <w:szCs w:val="32"/>
          <w:b w:val="1"/>
          <w:bCs w:val="1"/>
          <w:color w:val="00DC64"/>
        </w:rPr>
      </w:pPr>
      <w:r>
        <w:rPr>
          <w:rFonts w:ascii="Arial" w:cs="Arial" w:eastAsia="Arial" w:hAnsi="Arial"/>
          <w:sz w:val="16"/>
          <w:szCs w:val="16"/>
          <w:color w:val="auto"/>
        </w:rPr>
        <w:t>year ending December 1, 2026; and</w:t>
      </w:r>
    </w:p>
    <w:p>
      <w:pPr>
        <w:ind w:left="900" w:hanging="543"/>
        <w:spacing w:after="0" w:line="182" w:lineRule="auto"/>
        <w:tabs>
          <w:tab w:leader="none" w:pos="900" w:val="left"/>
        </w:tabs>
        <w:numPr>
          <w:ilvl w:val="1"/>
          <w:numId w:val="7"/>
        </w:numPr>
        <w:rPr>
          <w:rFonts w:ascii="Arial" w:cs="Arial" w:eastAsia="Arial" w:hAnsi="Arial"/>
          <w:sz w:val="51"/>
          <w:szCs w:val="51"/>
          <w:b w:val="1"/>
          <w:bCs w:val="1"/>
          <w:color w:val="00DC64"/>
          <w:vertAlign w:val="subscript"/>
        </w:rPr>
      </w:pPr>
      <w:r>
        <w:rPr>
          <w:rFonts w:ascii="Arial" w:cs="Arial" w:eastAsia="Arial" w:hAnsi="Arial"/>
          <w:sz w:val="15"/>
          <w:szCs w:val="15"/>
          <w:color w:val="auto"/>
        </w:rPr>
        <w:t>any other business as may properly come before the meeting or any adjournment of the meeting.</w:t>
      </w:r>
    </w:p>
    <w:p>
      <w:pPr>
        <w:spacing w:after="0" w:line="200" w:lineRule="exact"/>
        <w:rPr>
          <w:rFonts w:ascii="Arial" w:cs="Arial" w:eastAsia="Arial" w:hAnsi="Arial"/>
          <w:sz w:val="51"/>
          <w:szCs w:val="51"/>
          <w:b w:val="1"/>
          <w:bCs w:val="1"/>
          <w:color w:val="00DC64"/>
          <w:vertAlign w:val="subscript"/>
        </w:rPr>
      </w:pPr>
    </w:p>
    <w:p>
      <w:pPr>
        <w:spacing w:after="0" w:line="248" w:lineRule="exact"/>
        <w:rPr>
          <w:rFonts w:ascii="Arial" w:cs="Arial" w:eastAsia="Arial" w:hAnsi="Arial"/>
          <w:sz w:val="51"/>
          <w:szCs w:val="51"/>
          <w:b w:val="1"/>
          <w:bCs w:val="1"/>
          <w:color w:val="00DC64"/>
          <w:vertAlign w:val="subscript"/>
        </w:rPr>
      </w:pPr>
    </w:p>
    <w:p>
      <w:pPr>
        <w:ind w:left="240" w:hanging="232"/>
        <w:spacing w:after="0"/>
        <w:tabs>
          <w:tab w:leader="none" w:pos="240"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How does the Board recommend I vote on these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-269875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The Board recommends you vote:</w:t>
      </w:r>
    </w:p>
    <w:p>
      <w:pPr>
        <w:spacing w:after="0" w:line="208"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FOR the election of Namsun Kim, Jun Masuda and Isabelle Winkles as Class II directors;</w:t>
      </w:r>
    </w:p>
    <w:p>
      <w:pPr>
        <w:spacing w:after="0" w:line="99" w:lineRule="exact"/>
        <w:rPr>
          <w:rFonts w:ascii="Arial" w:cs="Arial" w:eastAsia="Arial" w:hAnsi="Arial"/>
          <w:sz w:val="16"/>
          <w:szCs w:val="16"/>
          <w:color w:val="auto"/>
        </w:rPr>
      </w:pP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FOR the approval of, on an advisory, non-binding basis, the compensation paid to the Company’s named executive officers; and</w:t>
      </w:r>
    </w:p>
    <w:p>
      <w:pPr>
        <w:spacing w:after="0" w:line="86" w:lineRule="exact"/>
        <w:rPr>
          <w:rFonts w:ascii="Arial" w:cs="Arial" w:eastAsia="Arial" w:hAnsi="Arial"/>
          <w:sz w:val="16"/>
          <w:szCs w:val="16"/>
          <w:color w:val="auto"/>
        </w:rPr>
      </w:pPr>
    </w:p>
    <w:p>
      <w:pPr>
        <w:ind w:left="660" w:right="100" w:hanging="328"/>
        <w:spacing w:after="0" w:line="339"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FOR the ratification of the appointment of Samil PricewaterhouseCoopers as our independent registered public accounting firm for the year ending December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287655</wp:posOffset>
            </wp:positionV>
            <wp:extent cx="282575" cy="2743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82575" cy="274320"/>
                    </a:xfrm>
                    <a:prstGeom prst="rect">
                      <a:avLst/>
                    </a:prstGeom>
                    <a:noFill/>
                  </pic:spPr>
                </pic:pic>
              </a:graphicData>
            </a:graphic>
          </wp:anchor>
        </w:drawing>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320" w:type="dxa"/>
            <w:vAlign w:val="bottom"/>
          </w:tcPr>
          <w:p>
            <w:pPr>
              <w:ind w:left="20"/>
              <w:spacing w:after="0"/>
              <w:rPr>
                <w:sz w:val="20"/>
                <w:szCs w:val="20"/>
                <w:color w:val="auto"/>
              </w:rPr>
            </w:pPr>
            <w:r>
              <w:rPr>
                <w:rFonts w:ascii="Arial" w:cs="Arial" w:eastAsia="Arial" w:hAnsi="Arial"/>
                <w:sz w:val="14"/>
                <w:szCs w:val="14"/>
                <w:b w:val="1"/>
                <w:bCs w:val="1"/>
                <w:color w:val="auto"/>
              </w:rPr>
              <w:t>2026 Proxy Statement</w:t>
            </w:r>
          </w:p>
        </w:tc>
        <w:tc>
          <w:tcPr>
            <w:tcW w:w="4920" w:type="dxa"/>
            <w:vAlign w:val="bottom"/>
          </w:tcPr>
          <w:p>
            <w:pPr>
              <w:jc w:val="right"/>
              <w:spacing w:after="0"/>
              <w:rPr>
                <w:sz w:val="20"/>
                <w:szCs w:val="20"/>
                <w:color w:val="auto"/>
              </w:rPr>
            </w:pPr>
            <w:r>
              <w:rPr>
                <w:rFonts w:ascii="Arial" w:cs="Arial" w:eastAsia="Arial" w:hAnsi="Arial"/>
                <w:sz w:val="14"/>
                <w:szCs w:val="14"/>
                <w:b w:val="1"/>
                <w:bCs w:val="1"/>
                <w:color w:val="auto"/>
              </w:rPr>
              <w:t>1</w:t>
            </w:r>
          </w:p>
        </w:tc>
      </w:tr>
      <w:tr>
        <w:trPr>
          <w:trHeight w:val="374"/>
        </w:trPr>
        <w:tc>
          <w:tcPr>
            <w:tcW w:w="6320" w:type="dxa"/>
            <w:vAlign w:val="bottom"/>
            <w:tcBorders>
              <w:bottom w:val="single" w:sz="8" w:color="9A9A9A"/>
            </w:tcBorders>
          </w:tcPr>
          <w:p>
            <w:pPr>
              <w:spacing w:after="0"/>
              <w:rPr>
                <w:sz w:val="24"/>
                <w:szCs w:val="24"/>
                <w:color w:val="auto"/>
              </w:rPr>
            </w:pPr>
          </w:p>
        </w:tc>
        <w:tc>
          <w:tcPr>
            <w:tcW w:w="4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 How do I cast my vote?</w:t>
      </w:r>
    </w:p>
    <w:p>
      <w:pPr>
        <w:spacing w:after="0" w:line="154" w:lineRule="exact"/>
        <w:rPr>
          <w:sz w:val="20"/>
          <w:szCs w:val="20"/>
          <w:color w:val="auto"/>
        </w:rPr>
      </w:pPr>
    </w:p>
    <w:p>
      <w:pPr>
        <w:ind w:right="220"/>
        <w:spacing w:after="0" w:line="310" w:lineRule="auto"/>
        <w:rPr>
          <w:sz w:val="20"/>
          <w:szCs w:val="20"/>
          <w:color w:val="auto"/>
        </w:rPr>
      </w:pPr>
      <w:r>
        <w:rPr>
          <w:rFonts w:ascii="Arial" w:cs="Arial" w:eastAsia="Arial" w:hAnsi="Arial"/>
          <w:sz w:val="16"/>
          <w:szCs w:val="16"/>
          <w:color w:val="auto"/>
        </w:rPr>
        <w:t>Beneficial Stockholders. If you hold your shares through a broker, trustee, or other nominee, you are a beneficial stockholder. In order to vote your shares, please refer to the materials forwarded to you by your broker, bank or other nominee for instructions on how to vote the shares you hold as a beneficial stockholder.</w:t>
      </w:r>
    </w:p>
    <w:p>
      <w:pPr>
        <w:spacing w:after="0" w:line="124" w:lineRule="exact"/>
        <w:rPr>
          <w:sz w:val="20"/>
          <w:szCs w:val="20"/>
          <w:color w:val="auto"/>
        </w:rPr>
      </w:pPr>
    </w:p>
    <w:p>
      <w:pPr>
        <w:ind w:right="260"/>
        <w:spacing w:after="0" w:line="339" w:lineRule="auto"/>
        <w:rPr>
          <w:sz w:val="20"/>
          <w:szCs w:val="20"/>
          <w:color w:val="auto"/>
        </w:rPr>
      </w:pPr>
      <w:r>
        <w:rPr>
          <w:rFonts w:ascii="Arial" w:cs="Arial" w:eastAsia="Arial" w:hAnsi="Arial"/>
          <w:sz w:val="16"/>
          <w:szCs w:val="16"/>
          <w:color w:val="auto"/>
        </w:rPr>
        <w:t>Registered Stockholders. If you hold shares in your own name, you are a registered stockholder and may vote online during the Annual Meeting. You can also vote by proxy before the Annual Meeting in the following ways: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81915</wp:posOffset>
            </wp:positionV>
            <wp:extent cx="240030" cy="2400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40030" cy="240030"/>
                    </a:xfrm>
                    <a:prstGeom prst="rect">
                      <a:avLst/>
                    </a:prstGeom>
                    <a:noFill/>
                  </pic:spPr>
                </pic:pic>
              </a:graphicData>
            </a:graphic>
          </wp:anchor>
        </w:drawing>
        <w:drawing>
          <wp:anchor simplePos="0" relativeHeight="251657728" behindDoc="1" locked="0" layoutInCell="0" allowOverlap="1">
            <wp:simplePos x="0" y="0"/>
            <wp:positionH relativeFrom="column">
              <wp:posOffset>2379345</wp:posOffset>
            </wp:positionH>
            <wp:positionV relativeFrom="paragraph">
              <wp:posOffset>81915</wp:posOffset>
            </wp:positionV>
            <wp:extent cx="240030" cy="2400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40030" cy="24003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81915</wp:posOffset>
            </wp:positionV>
            <wp:extent cx="240030" cy="2400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p>
      <w:pPr>
        <w:spacing w:after="0" w:line="155" w:lineRule="exact"/>
        <w:rPr>
          <w:sz w:val="20"/>
          <w:szCs w:val="20"/>
          <w:color w:val="auto"/>
        </w:rPr>
      </w:pPr>
    </w:p>
    <w:p>
      <w:pPr>
        <w:ind w:left="680"/>
        <w:spacing w:after="0"/>
        <w:tabs>
          <w:tab w:leader="none" w:pos="4400" w:val="left"/>
        </w:tabs>
        <w:rPr>
          <w:sz w:val="20"/>
          <w:szCs w:val="20"/>
          <w:color w:val="auto"/>
        </w:rPr>
      </w:pPr>
      <w:r>
        <w:rPr>
          <w:rFonts w:ascii="Arial" w:cs="Arial" w:eastAsia="Arial" w:hAnsi="Arial"/>
          <w:sz w:val="16"/>
          <w:szCs w:val="16"/>
          <w:b w:val="1"/>
          <w:bCs w:val="1"/>
          <w:color w:val="00DC64"/>
        </w:rPr>
        <w:t>Internet</w:t>
      </w:r>
      <w:r>
        <w:rPr>
          <w:sz w:val="20"/>
          <w:szCs w:val="20"/>
          <w:color w:val="auto"/>
        </w:rPr>
        <w:tab/>
      </w:r>
      <w:r>
        <w:rPr>
          <w:rFonts w:ascii="Arial" w:cs="Arial" w:eastAsia="Arial" w:hAnsi="Arial"/>
          <w:sz w:val="16"/>
          <w:szCs w:val="16"/>
          <w:b w:val="1"/>
          <w:bCs w:val="1"/>
          <w:color w:val="00DC64"/>
        </w:rPr>
        <w:t>Phone</w:t>
      </w:r>
    </w:p>
    <w:p>
      <w:pPr>
        <w:spacing w:after="0" w:line="86" w:lineRule="exact"/>
        <w:rPr>
          <w:sz w:val="20"/>
          <w:szCs w:val="20"/>
          <w:color w:val="auto"/>
        </w:rPr>
      </w:pPr>
    </w:p>
    <w:p>
      <w:pPr>
        <w:ind w:left="680"/>
        <w:spacing w:after="0"/>
        <w:tabs>
          <w:tab w:leader="none" w:pos="4400" w:val="left"/>
        </w:tabs>
        <w:rPr>
          <w:sz w:val="20"/>
          <w:szCs w:val="20"/>
          <w:color w:val="auto"/>
        </w:rPr>
      </w:pPr>
      <w:r>
        <w:rPr>
          <w:rFonts w:ascii="Arial" w:cs="Arial" w:eastAsia="Arial" w:hAnsi="Arial"/>
          <w:sz w:val="16"/>
          <w:szCs w:val="16"/>
          <w:color w:val="auto"/>
        </w:rPr>
        <w:t>Via the Internet at www.ProxyVote.com</w:t>
      </w:r>
      <w:r>
        <w:rPr>
          <w:sz w:val="20"/>
          <w:szCs w:val="20"/>
          <w:color w:val="auto"/>
        </w:rPr>
        <w:tab/>
      </w:r>
      <w:r>
        <w:rPr>
          <w:rFonts w:ascii="Arial" w:cs="Arial" w:eastAsia="Arial" w:hAnsi="Arial"/>
          <w:sz w:val="16"/>
          <w:szCs w:val="16"/>
          <w:color w:val="auto"/>
        </w:rPr>
        <w:t>By phone by calling on a touch-tone</w:t>
      </w:r>
    </w:p>
    <w:p>
      <w:pPr>
        <w:spacing w:after="0" w:line="46"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telephone toll-free 1-800-690-6903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501015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color w:val="00DC64"/>
        </w:rPr>
        <w:t>Mail</w:t>
      </w:r>
    </w:p>
    <w:p>
      <w:pPr>
        <w:spacing w:after="0" w:line="86" w:lineRule="exact"/>
        <w:rPr>
          <w:sz w:val="20"/>
          <w:szCs w:val="20"/>
          <w:color w:val="auto"/>
        </w:rPr>
      </w:pPr>
    </w:p>
    <w:p>
      <w:pPr>
        <w:jc w:val="both"/>
        <w:ind w:right="600"/>
        <w:spacing w:after="0" w:line="312" w:lineRule="auto"/>
        <w:rPr>
          <w:sz w:val="20"/>
          <w:szCs w:val="20"/>
          <w:color w:val="auto"/>
        </w:rPr>
      </w:pPr>
      <w:r>
        <w:rPr>
          <w:rFonts w:ascii="Arial" w:cs="Arial" w:eastAsia="Arial" w:hAnsi="Arial"/>
          <w:sz w:val="16"/>
          <w:szCs w:val="16"/>
          <w:color w:val="auto"/>
        </w:rPr>
        <w:t>If you received or requested paper copies of your proxy materials, by signing, dating, and returning your proxy card by mail.</w:t>
      </w:r>
    </w:p>
    <w:p>
      <w:pPr>
        <w:spacing w:after="0" w:line="200" w:lineRule="exact"/>
        <w:rPr>
          <w:sz w:val="20"/>
          <w:szCs w:val="20"/>
          <w:color w:val="auto"/>
        </w:rPr>
      </w:pPr>
    </w:p>
    <w:p>
      <w:pPr>
        <w:sectPr>
          <w:pgSz w:w="11900" w:h="16838" w:orient="portrait"/>
          <w:cols w:equalWidth="0" w:num="2">
            <w:col w:w="7460" w:space="720"/>
            <w:col w:w="3060"/>
          </w:cols>
          <w:pgMar w:left="320" w:top="130" w:right="339" w:bottom="1440" w:gutter="0" w:footer="0" w:header="0"/>
          <w:type w:val="continuous"/>
        </w:sectPr>
      </w:pPr>
    </w:p>
    <w:p>
      <w:pPr>
        <w:spacing w:after="0" w:line="301"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Whether or not you plan to attend the Annual Meeting, we urge you to vote by proxy in advance to ensure your vote is counted. Even if you have submitted a proxy before the meeting, you may still attend online and vote during the meeting. If you vote during the meeting, your previously submitted proxy will be disregarded. If you have already voted previously, there is no need to vote again at the meeting unless you wish to revoke your proxy and change your vote. For more information, see the question below titled “How may I change or revoke my proxy?”</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Proxies submitted via the Internet or by telephone must be received by 11:59 p.m., Eastern Daylight Time, on Tuesday, June 2, 2026.</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 Why did I receive a notice regarding the availability of proxy materials on the internet?</w:t>
      </w:r>
    </w:p>
    <w:p>
      <w:pPr>
        <w:spacing w:after="0" w:line="154" w:lineRule="exact"/>
        <w:rPr>
          <w:sz w:val="20"/>
          <w:szCs w:val="20"/>
          <w:color w:val="auto"/>
        </w:rPr>
      </w:pPr>
    </w:p>
    <w:p>
      <w:pPr>
        <w:ind w:right="80"/>
        <w:spacing w:after="0" w:line="304" w:lineRule="auto"/>
        <w:rPr>
          <w:sz w:val="20"/>
          <w:szCs w:val="20"/>
          <w:color w:val="auto"/>
        </w:rPr>
      </w:pPr>
      <w:r>
        <w:rPr>
          <w:rFonts w:ascii="Arial" w:cs="Arial" w:eastAsia="Arial" w:hAnsi="Arial"/>
          <w:sz w:val="16"/>
          <w:szCs w:val="16"/>
          <w:color w:val="auto"/>
        </w:rPr>
        <w:t>Pursuant to rules adopted by the Securities and Exchange Commission (the “SEC”), we have elected to provide access to our proxy materials over the internet. Accordingly, we have sent you a notice of internet availability because our Board is soliciting your proxy to vote at the Annual Meeting. All stockholders will have the ability to access the proxy materials on the website referred to in the notice of internet availability or to request a printed set of the proxy materials. Instructions on how to access the proxy materials over the internet or to request a printed copy may be found in our notice of internet availability.</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 How may I change or revoke my proxy?</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Beneficial Stockholders. Beneficial stockholders should contact their broker, trustee or nominee for instructions on how to change or revoke their proxy.</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Registered Stockholders. Registered stockholders may change or revoke a properly executed proxy at any time before its exercise:</w:t>
      </w:r>
    </w:p>
    <w:p>
      <w:pPr>
        <w:spacing w:after="0" w:line="208"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via the Internet at www.ProxyVote.com;</w:t>
      </w:r>
    </w:p>
    <w:p>
      <w:pPr>
        <w:spacing w:after="0" w:line="99" w:lineRule="exact"/>
        <w:rPr>
          <w:rFonts w:ascii="Arial" w:cs="Arial" w:eastAsia="Arial" w:hAnsi="Arial"/>
          <w:sz w:val="16"/>
          <w:szCs w:val="16"/>
          <w:color w:val="auto"/>
        </w:rPr>
      </w:pPr>
    </w:p>
    <w:p>
      <w:pPr>
        <w:ind w:left="660" w:hanging="328"/>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by phone by calling on a touch-tone telephone toll-free 1-800-690-6903;</w:t>
      </w:r>
    </w:p>
    <w:p>
      <w:pPr>
        <w:spacing w:after="0" w:line="99" w:lineRule="exact"/>
        <w:rPr>
          <w:rFonts w:ascii="Arial" w:cs="Arial" w:eastAsia="Arial" w:hAnsi="Arial"/>
          <w:sz w:val="16"/>
          <w:szCs w:val="16"/>
          <w:color w:val="auto"/>
        </w:rPr>
      </w:pPr>
    </w:p>
    <w:p>
      <w:pPr>
        <w:ind w:left="660" w:hanging="328"/>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by signing and returning a new proxy card bearing a later date by mail; or</w:t>
      </w:r>
    </w:p>
    <w:p>
      <w:pPr>
        <w:spacing w:after="0" w:line="86" w:lineRule="exact"/>
        <w:rPr>
          <w:rFonts w:ascii="Arial" w:cs="Arial" w:eastAsia="Arial" w:hAnsi="Arial"/>
          <w:sz w:val="16"/>
          <w:szCs w:val="16"/>
          <w:color w:val="auto"/>
        </w:rPr>
      </w:pPr>
    </w:p>
    <w:p>
      <w:pPr>
        <w:ind w:left="660" w:hanging="328"/>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by voting online at the Annual Meeting.</w:t>
      </w:r>
    </w:p>
    <w:p>
      <w:pPr>
        <w:spacing w:after="0" w:line="208" w:lineRule="exact"/>
        <w:rPr>
          <w:sz w:val="20"/>
          <w:szCs w:val="20"/>
          <w:color w:val="auto"/>
        </w:rPr>
      </w:pPr>
    </w:p>
    <w:p>
      <w:pPr>
        <w:ind w:right="20"/>
        <w:spacing w:after="0" w:line="319" w:lineRule="auto"/>
        <w:rPr>
          <w:sz w:val="20"/>
          <w:szCs w:val="20"/>
          <w:color w:val="auto"/>
        </w:rPr>
      </w:pPr>
      <w:r>
        <w:rPr>
          <w:rFonts w:ascii="Arial" w:cs="Arial" w:eastAsia="Arial" w:hAnsi="Arial"/>
          <w:sz w:val="16"/>
          <w:szCs w:val="16"/>
          <w:color w:val="auto"/>
        </w:rPr>
        <w:t>Simply attending the Annual Meeting will not, by itself, change your vote or revoke your proxy. Even if you plan to attend the Annual Meeting, we recommend that you also submit your proxy or voting instructions or vote in advance of the Annual Meeting by telephone or through the internet so that your vote will be counted if you later decide not to attend the Annual Meeting.</w:t>
      </w:r>
    </w:p>
    <w:p>
      <w:pPr>
        <w:spacing w:after="0" w:line="117" w:lineRule="exact"/>
        <w:rPr>
          <w:sz w:val="20"/>
          <w:szCs w:val="20"/>
          <w:color w:val="auto"/>
        </w:rPr>
      </w:pPr>
    </w:p>
    <w:p>
      <w:pPr>
        <w:ind w:right="420"/>
        <w:spacing w:after="0" w:line="321" w:lineRule="auto"/>
        <w:rPr>
          <w:sz w:val="20"/>
          <w:szCs w:val="20"/>
          <w:color w:val="auto"/>
        </w:rPr>
      </w:pPr>
      <w:r>
        <w:rPr>
          <w:rFonts w:ascii="Arial" w:cs="Arial" w:eastAsia="Arial" w:hAnsi="Arial"/>
          <w:sz w:val="16"/>
          <w:szCs w:val="16"/>
          <w:color w:val="auto"/>
        </w:rPr>
        <w:t>In addition, registered stockholders can revoke a properly executed proxy at any time before it has been exercised by timely delivering to the Corporate Secretary at the Company’s principal executive office a written revocation of the proxy.</w:t>
      </w:r>
    </w:p>
    <w:p>
      <w:pPr>
        <w:spacing w:after="0" w:line="200" w:lineRule="exact"/>
        <w:rPr>
          <w:sz w:val="20"/>
          <w:szCs w:val="20"/>
          <w:color w:val="auto"/>
        </w:rPr>
      </w:pPr>
    </w:p>
    <w:p>
      <w:pPr>
        <w:spacing w:after="0" w:line="251" w:lineRule="exact"/>
        <w:rPr>
          <w:sz w:val="20"/>
          <w:szCs w:val="20"/>
          <w:color w:val="auto"/>
        </w:rPr>
      </w:pPr>
    </w:p>
    <w:p>
      <w:pPr>
        <w:ind w:left="20"/>
        <w:spacing w:after="0"/>
        <w:tabs>
          <w:tab w:leader="none" w:pos="5360" w:val="left"/>
        </w:tabs>
        <w:rPr>
          <w:sz w:val="20"/>
          <w:szCs w:val="20"/>
          <w:color w:val="auto"/>
        </w:rPr>
      </w:pPr>
      <w:r>
        <w:rPr>
          <w:rFonts w:ascii="Arial" w:cs="Arial" w:eastAsia="Arial" w:hAnsi="Arial"/>
          <w:sz w:val="14"/>
          <w:szCs w:val="14"/>
          <w:b w:val="1"/>
          <w:bCs w:val="1"/>
          <w:color w:val="auto"/>
        </w:rPr>
        <w:t>2</w:t>
      </w:r>
      <w:r>
        <w:rPr>
          <w:sz w:val="20"/>
          <w:szCs w:val="20"/>
          <w:color w:val="auto"/>
        </w:rPr>
        <w:tab/>
      </w:r>
      <w:r>
        <w:rPr>
          <w:sz w:val="1"/>
          <w:szCs w:val="1"/>
          <w:color w:val="auto"/>
        </w:rPr>
        <w:drawing>
          <wp:inline distT="0" distB="0" distL="0" distR="0">
            <wp:extent cx="282575" cy="27432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82575" cy="274320"/>
                    </a:xfrm>
                    <a:prstGeom prst="rect">
                      <a:avLst/>
                    </a:prstGeom>
                    <a:noFill/>
                    <a:ln>
                      <a:noFill/>
                    </a:ln>
                  </pic:spPr>
                </pic:pic>
              </a:graphicData>
            </a:graphic>
          </wp:inline>
        </w:drawing>
      </w:r>
      <w:r>
        <w:rPr>
          <w:rFonts w:ascii="Arial" w:cs="Arial" w:eastAsia="Arial" w:hAnsi="Arial"/>
          <w:sz w:val="14"/>
          <w:szCs w:val="14"/>
          <w:b w:val="1"/>
          <w:bCs w:val="1"/>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6" w:name="page7"/>
    <w:bookmarkEnd w:id="6"/>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6"/>
          <w:szCs w:val="16"/>
          <w:color w:val="auto"/>
        </w:rPr>
        <w:t>Proxies submitted via the Internet or by telephone must be received by 11:59 p.m., Eastern Daylight Time, on Tuesday, June 2, 2026.</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 How can I attend and participate in the Annual Meeting?</w:t>
      </w:r>
    </w:p>
    <w:p>
      <w:pPr>
        <w:spacing w:after="0" w:line="140" w:lineRule="exact"/>
        <w:rPr>
          <w:sz w:val="20"/>
          <w:szCs w:val="20"/>
          <w:color w:val="auto"/>
        </w:rPr>
      </w:pPr>
    </w:p>
    <w:p>
      <w:pPr>
        <w:ind w:right="400"/>
        <w:spacing w:after="0" w:line="319" w:lineRule="auto"/>
        <w:rPr>
          <w:sz w:val="20"/>
          <w:szCs w:val="20"/>
          <w:color w:val="auto"/>
        </w:rPr>
      </w:pPr>
      <w:r>
        <w:rPr>
          <w:rFonts w:ascii="Arial" w:cs="Arial" w:eastAsia="Arial" w:hAnsi="Arial"/>
          <w:sz w:val="16"/>
          <w:szCs w:val="16"/>
          <w:color w:val="auto"/>
        </w:rPr>
        <w:t>We will be hosting the Annual Meeting via live webcast only. If you are a stockholder of record as of the Record Date, you may attend, vote and ask questions virtually at the meeting by logging in at http://www.virtualshareholdermeeting.com/WBTN2026 and entering your 16-digit control number. This number is included in your notice of internet availability of proxy materials or proxy card.</w:t>
      </w:r>
    </w:p>
    <w:p>
      <w:pPr>
        <w:spacing w:after="0" w:line="117" w:lineRule="exact"/>
        <w:rPr>
          <w:sz w:val="20"/>
          <w:szCs w:val="20"/>
          <w:color w:val="auto"/>
        </w:rPr>
      </w:pPr>
    </w:p>
    <w:p>
      <w:pPr>
        <w:ind w:right="240"/>
        <w:spacing w:after="0" w:line="303" w:lineRule="auto"/>
        <w:rPr>
          <w:sz w:val="20"/>
          <w:szCs w:val="20"/>
          <w:color w:val="auto"/>
        </w:rPr>
      </w:pPr>
      <w:r>
        <w:rPr>
          <w:rFonts w:ascii="Arial" w:cs="Arial" w:eastAsia="Arial" w:hAnsi="Arial"/>
          <w:sz w:val="16"/>
          <w:szCs w:val="16"/>
          <w:color w:val="auto"/>
        </w:rPr>
        <w:t>If you are a stockholder as of the Record Date and have logged in using your 16-digit control number, you may submit questions at any point during the meeting (until the floor is closed to questions) by typing your question into the “Ask a Question” field, and clicking “Submit.” Stockholder questions or comments are welcome, but we will only answer questions pertinent to Annual Meeting matters, subject to time constraints. Questions regarding personal matters and statements of advocacy are not pertinent to Annual Meeting matters and therefore will not be addressed. Questions or comments that are substantially similar may be grouped and answered together to avoid repetition. The audio broadcast of the Annual Meeting will be archived at http://www.virtualshareholdermeeting.com/WBTN2026 for at least one year.</w:t>
      </w:r>
    </w:p>
    <w:p>
      <w:pPr>
        <w:spacing w:after="0" w:line="132" w:lineRule="exact"/>
        <w:rPr>
          <w:sz w:val="20"/>
          <w:szCs w:val="20"/>
          <w:color w:val="auto"/>
        </w:rPr>
      </w:pPr>
    </w:p>
    <w:p>
      <w:pPr>
        <w:ind w:right="120"/>
        <w:spacing w:after="0" w:line="321" w:lineRule="auto"/>
        <w:rPr>
          <w:sz w:val="20"/>
          <w:szCs w:val="20"/>
          <w:color w:val="auto"/>
        </w:rPr>
      </w:pPr>
      <w:r>
        <w:rPr>
          <w:rFonts w:ascii="Arial" w:cs="Arial" w:eastAsia="Arial" w:hAnsi="Arial"/>
          <w:sz w:val="16"/>
          <w:szCs w:val="16"/>
          <w:color w:val="auto"/>
        </w:rPr>
        <w:t>If you are not a stockholder as of the Record Date or do not log in using your 16-digit control number, you may still log in as a guest and listen to the Annual Meeting, but you will not be able to ask questions or vote at the meeting.</w:t>
      </w:r>
    </w:p>
    <w:p>
      <w:pPr>
        <w:spacing w:after="0" w:line="115" w:lineRule="exact"/>
        <w:rPr>
          <w:sz w:val="20"/>
          <w:szCs w:val="20"/>
          <w:color w:val="auto"/>
        </w:rPr>
      </w:pPr>
    </w:p>
    <w:p>
      <w:pPr>
        <w:ind w:right="280"/>
        <w:spacing w:after="0" w:line="339" w:lineRule="auto"/>
        <w:rPr>
          <w:sz w:val="20"/>
          <w:szCs w:val="20"/>
          <w:color w:val="auto"/>
        </w:rPr>
      </w:pPr>
      <w:r>
        <w:rPr>
          <w:rFonts w:ascii="Arial" w:cs="Arial" w:eastAsia="Arial" w:hAnsi="Arial"/>
          <w:sz w:val="16"/>
          <w:szCs w:val="16"/>
          <w:color w:val="auto"/>
        </w:rPr>
        <w:t>Beneficial stockholders who want to attend should follow the instructions provided by their bank or broker found on their voter instruction form or notice of internet availability.</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 What are “broker non-votes”?</w:t>
      </w:r>
    </w:p>
    <w:p>
      <w:pPr>
        <w:spacing w:after="0" w:line="140" w:lineRule="exact"/>
        <w:rPr>
          <w:sz w:val="20"/>
          <w:szCs w:val="20"/>
          <w:color w:val="auto"/>
        </w:rPr>
      </w:pPr>
    </w:p>
    <w:p>
      <w:pPr>
        <w:spacing w:after="0" w:line="303" w:lineRule="auto"/>
        <w:rPr>
          <w:sz w:val="20"/>
          <w:szCs w:val="20"/>
          <w:color w:val="auto"/>
        </w:rPr>
      </w:pPr>
      <w:r>
        <w:rPr>
          <w:rFonts w:ascii="Arial" w:cs="Arial" w:eastAsia="Arial" w:hAnsi="Arial"/>
          <w:sz w:val="16"/>
          <w:szCs w:val="16"/>
          <w:color w:val="auto"/>
        </w:rPr>
        <w:t>If your shares are held through a broker and you give the broker instructions, your shares will be voted as you direct. If you do not provide voting instructions, your shares will not be voted on any proposal on which the broker does not have discretionary authority to vote. This is called a “broker non-vote.” In these cases, the broker can register your shares as being present at the Annual Meeting for purposes of determining the presence of a quorum and will be able to use their discretionary voting authority to vote your shares on the ratification of Samil PricewaterhouseCoopers as our independent registered public accounting firm for the year ending December 31, 2026. However, the broker will not be able to vote on those matters for which specific authorization is required, such as the election of directors or the advisory approval of named executive officer compensation without instructions from you, in which case a broker non-vote will occur, and your shares will not be voted on these matters.</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 How many shares must be present to transact business at the Annual Meeting?</w:t>
      </w:r>
    </w:p>
    <w:p>
      <w:pPr>
        <w:spacing w:after="0" w:line="154" w:lineRule="exact"/>
        <w:rPr>
          <w:sz w:val="20"/>
          <w:szCs w:val="20"/>
          <w:color w:val="auto"/>
        </w:rPr>
      </w:pPr>
    </w:p>
    <w:p>
      <w:pPr>
        <w:ind w:right="100"/>
        <w:spacing w:after="0" w:line="304" w:lineRule="auto"/>
        <w:rPr>
          <w:sz w:val="20"/>
          <w:szCs w:val="20"/>
          <w:color w:val="auto"/>
        </w:rPr>
      </w:pPr>
      <w:r>
        <w:rPr>
          <w:rFonts w:ascii="Arial" w:cs="Arial" w:eastAsia="Arial" w:hAnsi="Arial"/>
          <w:sz w:val="16"/>
          <w:szCs w:val="16"/>
          <w:color w:val="auto"/>
        </w:rPr>
        <w:t>A quorum of our stockholders must be present at the Annual Meeting for any business to be conducted. Under our Amended and Restated Bylaws (the “Bylaws”), a majority in voting power of our common stock entitled to vote at the meeting, present or represented by proxy, shall constitute a quorum. If you authorize a proxy to vote electronically or telephonically, or you sign and return a paper proxy card, your shares will be counted to determine whether a quorum has been established even if you “withhold” your vote or fail to vote on a particular item of business. Abstentions and “broker non-votes” will also be considered present for the purpose of determining whether there is a quorum for the Annual Meeting.</w:t>
      </w:r>
    </w:p>
    <w:p>
      <w:pPr>
        <w:spacing w:after="0" w:line="131" w:lineRule="exact"/>
        <w:rPr>
          <w:sz w:val="20"/>
          <w:szCs w:val="20"/>
          <w:color w:val="auto"/>
        </w:rPr>
      </w:pPr>
    </w:p>
    <w:p>
      <w:pPr>
        <w:jc w:val="both"/>
        <w:ind w:right="120"/>
        <w:spacing w:after="0" w:line="310" w:lineRule="auto"/>
        <w:rPr>
          <w:sz w:val="20"/>
          <w:szCs w:val="20"/>
          <w:color w:val="auto"/>
        </w:rPr>
      </w:pPr>
      <w:r>
        <w:rPr>
          <w:rFonts w:ascii="Arial" w:cs="Arial" w:eastAsia="Arial" w:hAnsi="Arial"/>
          <w:sz w:val="16"/>
          <w:szCs w:val="16"/>
          <w:color w:val="auto"/>
        </w:rPr>
        <w:t>If a quorum is not present or represented at the scheduled time of the Annual Meeting, (i) the chair of the Annual Meeting or (ii) the stockholders entitled to vote thereat, present or represented by proxy, by the affirmative vote of a majority in voting power thereof, shall have the power to adjourn the meeting from time to time, until a quorum is present or represented.</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 What is the voting requirement to approve each of the proposals, and how are the votes counted?</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PROPOSAL 1 - ELECTION OF DIRECTORS</w:t>
      </w:r>
    </w:p>
    <w:p>
      <w:pPr>
        <w:spacing w:after="0" w:line="206" w:lineRule="exact"/>
        <w:rPr>
          <w:sz w:val="20"/>
          <w:szCs w:val="20"/>
          <w:color w:val="auto"/>
        </w:rPr>
      </w:pPr>
    </w:p>
    <w:p>
      <w:pPr>
        <w:ind w:right="40"/>
        <w:spacing w:after="0" w:line="319" w:lineRule="auto"/>
        <w:rPr>
          <w:sz w:val="20"/>
          <w:szCs w:val="20"/>
          <w:color w:val="auto"/>
        </w:rPr>
      </w:pPr>
      <w:r>
        <w:rPr>
          <w:rFonts w:ascii="Arial" w:cs="Arial" w:eastAsia="Arial" w:hAnsi="Arial"/>
          <w:sz w:val="16"/>
          <w:szCs w:val="16"/>
          <w:color w:val="auto"/>
        </w:rPr>
        <w:t>A plurality of the votes of the shares of common stock present or represented by proxy at the meeting and entitled to vote thereon is required to elect each nominee named herein. This means that the three nominees receiving the highest number of votes at the Annual Meeting will be elected, even if those votes do not constitute a majority of the votes cast. You may vote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297180</wp:posOffset>
            </wp:positionV>
            <wp:extent cx="282575" cy="2743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82575"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320" w:type="dxa"/>
            <w:vAlign w:val="bottom"/>
          </w:tcPr>
          <w:p>
            <w:pPr>
              <w:ind w:left="20"/>
              <w:spacing w:after="0"/>
              <w:rPr>
                <w:sz w:val="20"/>
                <w:szCs w:val="20"/>
                <w:color w:val="auto"/>
              </w:rPr>
            </w:pPr>
            <w:r>
              <w:rPr>
                <w:rFonts w:ascii="Arial" w:cs="Arial" w:eastAsia="Arial" w:hAnsi="Arial"/>
                <w:sz w:val="14"/>
                <w:szCs w:val="14"/>
                <w:b w:val="1"/>
                <w:bCs w:val="1"/>
                <w:color w:val="auto"/>
              </w:rPr>
              <w:t>2026 Proxy Statement</w:t>
            </w:r>
          </w:p>
        </w:tc>
        <w:tc>
          <w:tcPr>
            <w:tcW w:w="4920" w:type="dxa"/>
            <w:vAlign w:val="bottom"/>
          </w:tcPr>
          <w:p>
            <w:pPr>
              <w:jc w:val="right"/>
              <w:spacing w:after="0"/>
              <w:rPr>
                <w:sz w:val="20"/>
                <w:szCs w:val="20"/>
                <w:color w:val="auto"/>
              </w:rPr>
            </w:pPr>
            <w:r>
              <w:rPr>
                <w:rFonts w:ascii="Arial" w:cs="Arial" w:eastAsia="Arial" w:hAnsi="Arial"/>
                <w:sz w:val="14"/>
                <w:szCs w:val="14"/>
                <w:b w:val="1"/>
                <w:bCs w:val="1"/>
                <w:color w:val="auto"/>
              </w:rPr>
              <w:t>3</w:t>
            </w:r>
          </w:p>
        </w:tc>
      </w:tr>
      <w:tr>
        <w:trPr>
          <w:trHeight w:val="373"/>
        </w:trPr>
        <w:tc>
          <w:tcPr>
            <w:tcW w:w="6320" w:type="dxa"/>
            <w:vAlign w:val="bottom"/>
            <w:tcBorders>
              <w:bottom w:val="single" w:sz="8" w:color="9A9A9A"/>
            </w:tcBorders>
          </w:tcPr>
          <w:p>
            <w:pPr>
              <w:spacing w:after="0"/>
              <w:rPr>
                <w:sz w:val="24"/>
                <w:szCs w:val="24"/>
                <w:color w:val="auto"/>
              </w:rPr>
            </w:pPr>
          </w:p>
        </w:tc>
        <w:tc>
          <w:tcPr>
            <w:tcW w:w="4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 w:name="page8"/>
    <w:bookmarkEnd w:id="7"/>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right="120"/>
        <w:spacing w:after="0" w:line="319" w:lineRule="auto"/>
        <w:rPr>
          <w:sz w:val="20"/>
          <w:szCs w:val="20"/>
          <w:color w:val="auto"/>
        </w:rPr>
      </w:pPr>
      <w:r>
        <w:rPr>
          <w:rFonts w:ascii="Arial" w:cs="Arial" w:eastAsia="Arial" w:hAnsi="Arial"/>
          <w:sz w:val="16"/>
          <w:szCs w:val="16"/>
          <w:color w:val="auto"/>
        </w:rPr>
        <w:t>the three nominees, withhold authority to vote your shares for the three nominees or withhold authority to vote your shares with respect to any one of the nominees. Withholding authority to vote your shares with respect to the one or more nominees will have no effect on the election of those nominees. Broker non-votes will have no effect on the election of the nominees.</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PROPOSAL 2 - ADVISORY VOTE ON THE COMPENSATION OF OUR NAMED EXECUTIVE OFFICERS</w:t>
      </w:r>
    </w:p>
    <w:p>
      <w:pPr>
        <w:spacing w:after="0" w:line="206"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This vote is advisory only and non-binding on the Board. The affirmative vote of the majority of shares of common stock present or represented by proxy at the meeting and entitled to vote thereon is required to approve the proposal. Votes may be cast “for” or “against” the proposal. Stockholders may also abstain from voting. Abstentions will have the same effect as a vote “against” the proposal. Broker non-votes will not be included in the vote totals and therefore will have no effect on the advisory vote on executive compensation.</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PROPOSAL 3 - RATIFICATION OF THE SELECTION OF INDEPENDENT REGISTERED PUBLIC ACCOUNTING FIRM</w:t>
      </w:r>
    </w:p>
    <w:p>
      <w:pPr>
        <w:spacing w:after="0" w:line="206" w:lineRule="exact"/>
        <w:rPr>
          <w:sz w:val="20"/>
          <w:szCs w:val="20"/>
          <w:color w:val="auto"/>
        </w:rPr>
      </w:pPr>
    </w:p>
    <w:p>
      <w:pPr>
        <w:ind w:right="80"/>
        <w:spacing w:after="0" w:line="303" w:lineRule="auto"/>
        <w:rPr>
          <w:sz w:val="20"/>
          <w:szCs w:val="20"/>
          <w:color w:val="auto"/>
        </w:rPr>
      </w:pPr>
      <w:r>
        <w:rPr>
          <w:rFonts w:ascii="Arial" w:cs="Arial" w:eastAsia="Arial" w:hAnsi="Arial"/>
          <w:sz w:val="16"/>
          <w:szCs w:val="16"/>
          <w:color w:val="auto"/>
        </w:rPr>
        <w:t>The ratification of the selection of our independent registered public accounting firm requires the affirmative vote of the majority of shares of common stock present or represented by proxy at the meeting and entitled to vote thereon. Votes may be cast “for” or “against” such ratification. Stockholders may also abstain from voting. Votes “for” and “against” this proposal and abstentions will count in the tabulations of votes cast on this proposal. Abstentions will be counted as votes cast on this proposal and will have the same effect as votes “against” this proposal. If you are a beneficial owner whose shares are held of record by a broker, your broker has discretionary voting authority to vote your shares on this proposal even if the broker does not receive voting instructions from you. Therefore, no broker non-votes are expected in connection with this proposal.</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 When will the results of the vote be announced?</w:t>
      </w:r>
    </w:p>
    <w:p>
      <w:pPr>
        <w:spacing w:after="0" w:line="154" w:lineRule="exact"/>
        <w:rPr>
          <w:sz w:val="20"/>
          <w:szCs w:val="20"/>
          <w:color w:val="auto"/>
        </w:rPr>
      </w:pPr>
    </w:p>
    <w:p>
      <w:pPr>
        <w:ind w:right="160"/>
        <w:spacing w:after="0" w:line="321" w:lineRule="auto"/>
        <w:rPr>
          <w:sz w:val="20"/>
          <w:szCs w:val="20"/>
          <w:color w:val="auto"/>
        </w:rPr>
      </w:pPr>
      <w:r>
        <w:rPr>
          <w:rFonts w:ascii="Arial" w:cs="Arial" w:eastAsia="Arial" w:hAnsi="Arial"/>
          <w:sz w:val="16"/>
          <w:szCs w:val="16"/>
          <w:color w:val="auto"/>
        </w:rPr>
        <w:t>The preliminary voting results will be announced at the Annual Meeting. The final voting results will be published in a Current Report on Form 8-K filed with the SEC within four business days of the Annual Meeting.</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 What is the deadline for submitting a stockholder proposal or director nomination for the 2027 Annual Meeting?</w:t>
      </w:r>
    </w:p>
    <w:p>
      <w:pPr>
        <w:spacing w:after="0" w:line="154"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Stockholder proposals submitted pursuant to SEC Rule 14a-8 for inclusion in the Company’s proxy statement and form of proxy for the Company’s annual meeting of stockholders to be held in 2027, must be received by the Company at our principal executive office at 5700 Wilshire Blvd., Suite 220, Los Angeles, California 90036 no later than the close of business on December 23, 2026. Stockholders wishing to make a director nomination or bring another proposal before the 2027 annual meeting (in each case, other than stockholder proposals in accordance with SEC Rule 14a-8), must provide written notice of such proposal to the Corporate Secretary at the Company’s principal executive office no later than the close of business on March 5, 2027 and not earlier than the close of business on February 3, 2027, assuming the Company does not change the date of the 2027 annual meeting of stockholders by more than 30 days before or 70 days after the one-year anniversary of the Annual Meeting. If the date of the 2027 annual meeting of stockholders is changed by more than 30 calendar days from such anniversary date or is later than 70 calendar days after such anniversary date, the stockholder must provide notice by the later of 90 calendar days prior to the date of the 2027 annual meeting of stockholders or the 10th calendar day following the date on which public announcement of the date of the 2027 annual meeting of stockholders is first made by the Company. Any stockholder proposal or director nomination must comply with the other provisions of the Company’s Bylaws and be submitted in writing to the Corporate Secretary at the Company’s principal executive office. In addition to satisfying the requirements of the Company’s Bylaws, to comply with the universal proxy rules, stockholders who intend to solicit proxies in support of director nominees, other than the Company’s nominees, must also comply with the additional requirements of Rule 14a-19 under the Securities Exchange Act of 1934, as amended (the “Exchange Act”), including the notice requirements, which such notice must be postmarked or transmitted electronically to the Company at the address stated above for stockholder recommendations no later than 60 calendar days prior to the one-year anniversary of the Annual Meeting (for the 2027 annual meeting of stockholders, no later than April 4, 2027). If the date of the 2027 annual meeting of stockholders is changed by more than 30 calendar days from such anniversary date, however, then the stockholder must provide notice by the later of 60 calendar days prior to the date of the 2027 annual meeting of stockholders or the 10th calendar day following the date on which public announcement of the date of the 2027 annual meeting of stockholders is first made by the Company.</w:t>
      </w:r>
    </w:p>
    <w:p>
      <w:pPr>
        <w:spacing w:after="0" w:line="200" w:lineRule="exact"/>
        <w:rPr>
          <w:sz w:val="20"/>
          <w:szCs w:val="20"/>
          <w:color w:val="auto"/>
        </w:rPr>
      </w:pPr>
    </w:p>
    <w:p>
      <w:pPr>
        <w:spacing w:after="0" w:line="264" w:lineRule="exact"/>
        <w:rPr>
          <w:sz w:val="20"/>
          <w:szCs w:val="20"/>
          <w:color w:val="auto"/>
        </w:rPr>
      </w:pPr>
    </w:p>
    <w:p>
      <w:pPr>
        <w:ind w:left="20"/>
        <w:spacing w:after="0"/>
        <w:tabs>
          <w:tab w:leader="none" w:pos="5360" w:val="left"/>
        </w:tabs>
        <w:rPr>
          <w:sz w:val="20"/>
          <w:szCs w:val="20"/>
          <w:color w:val="auto"/>
        </w:rPr>
      </w:pPr>
      <w:r>
        <w:rPr>
          <w:rFonts w:ascii="Arial" w:cs="Arial" w:eastAsia="Arial" w:hAnsi="Arial"/>
          <w:sz w:val="14"/>
          <w:szCs w:val="14"/>
          <w:b w:val="1"/>
          <w:bCs w:val="1"/>
          <w:color w:val="auto"/>
        </w:rPr>
        <w:t>4</w:t>
      </w:r>
      <w:r>
        <w:rPr>
          <w:sz w:val="20"/>
          <w:szCs w:val="20"/>
          <w:color w:val="auto"/>
        </w:rPr>
        <w:tab/>
      </w:r>
      <w:r>
        <w:rPr>
          <w:sz w:val="1"/>
          <w:szCs w:val="1"/>
          <w:color w:val="auto"/>
        </w:rPr>
        <w:drawing>
          <wp:inline distT="0" distB="0" distL="0" distR="0">
            <wp:extent cx="282575" cy="27432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82575" cy="274320"/>
                    </a:xfrm>
                    <a:prstGeom prst="rect">
                      <a:avLst/>
                    </a:prstGeom>
                    <a:noFill/>
                    <a:ln>
                      <a:noFill/>
                    </a:ln>
                  </pic:spPr>
                </pic:pic>
              </a:graphicData>
            </a:graphic>
          </wp:inline>
        </w:drawing>
      </w:r>
      <w:r>
        <w:rPr>
          <w:rFonts w:ascii="Arial" w:cs="Arial" w:eastAsia="Arial" w:hAnsi="Arial"/>
          <w:sz w:val="14"/>
          <w:szCs w:val="14"/>
          <w:b w:val="1"/>
          <w:bCs w:val="1"/>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 w:name="page9"/>
    <w:bookmarkEnd w:id="8"/>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54"/>
          <w:szCs w:val="54"/>
          <w:b w:val="1"/>
          <w:bCs w:val="1"/>
          <w:color w:val="00DC64"/>
        </w:rPr>
        <w:t>Board of Directors and</w:t>
      </w:r>
    </w:p>
    <w:p>
      <w:pPr>
        <w:spacing w:after="0" w:line="83" w:lineRule="exact"/>
        <w:rPr>
          <w:sz w:val="20"/>
          <w:szCs w:val="20"/>
          <w:color w:val="auto"/>
        </w:rPr>
      </w:pPr>
    </w:p>
    <w:p>
      <w:pPr>
        <w:spacing w:after="0"/>
        <w:rPr>
          <w:sz w:val="20"/>
          <w:szCs w:val="20"/>
          <w:color w:val="auto"/>
        </w:rPr>
      </w:pPr>
      <w:r>
        <w:rPr>
          <w:rFonts w:ascii="Arial" w:cs="Arial" w:eastAsia="Arial" w:hAnsi="Arial"/>
          <w:sz w:val="54"/>
          <w:szCs w:val="54"/>
          <w:b w:val="1"/>
          <w:bCs w:val="1"/>
          <w:color w:val="00DC64"/>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right="560"/>
        <w:spacing w:after="0" w:line="310" w:lineRule="auto"/>
        <w:rPr>
          <w:sz w:val="20"/>
          <w:szCs w:val="20"/>
          <w:color w:val="auto"/>
        </w:rPr>
      </w:pPr>
      <w:r>
        <w:rPr>
          <w:rFonts w:ascii="Arial" w:cs="Arial" w:eastAsia="Arial" w:hAnsi="Arial"/>
          <w:sz w:val="16"/>
          <w:szCs w:val="16"/>
          <w:color w:val="auto"/>
        </w:rPr>
        <w:t>Our business and affairs are managed under the direction of the Board, which is composed of nine directors. Our amended and restated certificate of incorporation (the “Certificate of Incorporation”) provides that the Board will be divided into three classes of directors. At each annual meeting of stockholders, a class of directors will be elected for a three-year term to succeed the class whose term is then expiring.</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name, class, and age of each director as of April 10, 2026, and other information for each member of the Board:</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96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2500" w:type="dxa"/>
            <w:vAlign w:val="bottom"/>
          </w:tcPr>
          <w:p>
            <w:pPr>
              <w:jc w:val="center"/>
              <w:spacing w:after="0"/>
              <w:rPr>
                <w:sz w:val="20"/>
                <w:szCs w:val="20"/>
                <w:color w:val="auto"/>
              </w:rPr>
            </w:pPr>
            <w:r>
              <w:rPr>
                <w:rFonts w:ascii="Arial" w:cs="Arial" w:eastAsia="Arial" w:hAnsi="Arial"/>
                <w:sz w:val="14"/>
                <w:szCs w:val="14"/>
                <w:b w:val="1"/>
                <w:bCs w:val="1"/>
                <w:color w:val="auto"/>
              </w:rPr>
              <w:t>Expiration of Term For Which</w:t>
            </w:r>
          </w:p>
        </w:tc>
      </w:tr>
      <w:tr>
        <w:trPr>
          <w:trHeight w:val="196"/>
        </w:trPr>
        <w:tc>
          <w:tcPr>
            <w:tcW w:w="2960" w:type="dxa"/>
            <w:vAlign w:val="bottom"/>
          </w:tcPr>
          <w:p>
            <w:pPr>
              <w:ind w:left="100"/>
              <w:spacing w:after="0"/>
              <w:rPr>
                <w:sz w:val="20"/>
                <w:szCs w:val="20"/>
                <w:color w:val="auto"/>
              </w:rPr>
            </w:pPr>
            <w:r>
              <w:rPr>
                <w:rFonts w:ascii="Arial" w:cs="Arial" w:eastAsia="Arial" w:hAnsi="Arial"/>
                <w:sz w:val="14"/>
                <w:szCs w:val="14"/>
                <w:b w:val="1"/>
                <w:bCs w:val="1"/>
                <w:color w:val="auto"/>
              </w:rPr>
              <w:t>Name</w:t>
            </w:r>
          </w:p>
        </w:tc>
        <w:tc>
          <w:tcPr>
            <w:tcW w:w="2620" w:type="dxa"/>
            <w:vAlign w:val="bottom"/>
          </w:tcPr>
          <w:p>
            <w:pPr>
              <w:jc w:val="center"/>
              <w:ind w:left="1168"/>
              <w:spacing w:after="0"/>
              <w:rPr>
                <w:sz w:val="20"/>
                <w:szCs w:val="20"/>
                <w:color w:val="auto"/>
              </w:rPr>
            </w:pPr>
            <w:r>
              <w:rPr>
                <w:rFonts w:ascii="Arial" w:cs="Arial" w:eastAsia="Arial" w:hAnsi="Arial"/>
                <w:sz w:val="14"/>
                <w:szCs w:val="14"/>
                <w:b w:val="1"/>
                <w:bCs w:val="1"/>
                <w:color w:val="auto"/>
              </w:rPr>
              <w:t>Class</w:t>
            </w:r>
          </w:p>
        </w:tc>
        <w:tc>
          <w:tcPr>
            <w:tcW w:w="1140" w:type="dxa"/>
            <w:vAlign w:val="bottom"/>
          </w:tcPr>
          <w:p>
            <w:pPr>
              <w:jc w:val="center"/>
              <w:ind w:left="68"/>
              <w:spacing w:after="0"/>
              <w:rPr>
                <w:sz w:val="20"/>
                <w:szCs w:val="20"/>
                <w:color w:val="auto"/>
              </w:rPr>
            </w:pPr>
            <w:r>
              <w:rPr>
                <w:rFonts w:ascii="Arial" w:cs="Arial" w:eastAsia="Arial" w:hAnsi="Arial"/>
                <w:sz w:val="14"/>
                <w:szCs w:val="14"/>
                <w:b w:val="1"/>
                <w:bCs w:val="1"/>
                <w:color w:val="auto"/>
              </w:rPr>
              <w:t>Age</w:t>
            </w:r>
          </w:p>
        </w:tc>
        <w:tc>
          <w:tcPr>
            <w:tcW w:w="2020" w:type="dxa"/>
            <w:vAlign w:val="bottom"/>
          </w:tcPr>
          <w:p>
            <w:pPr>
              <w:jc w:val="center"/>
              <w:ind w:left="48"/>
              <w:spacing w:after="0"/>
              <w:rPr>
                <w:sz w:val="20"/>
                <w:szCs w:val="20"/>
                <w:color w:val="auto"/>
              </w:rPr>
            </w:pPr>
            <w:r>
              <w:rPr>
                <w:rFonts w:ascii="Arial" w:cs="Arial" w:eastAsia="Arial" w:hAnsi="Arial"/>
                <w:sz w:val="14"/>
                <w:szCs w:val="14"/>
                <w:b w:val="1"/>
                <w:bCs w:val="1"/>
                <w:color w:val="auto"/>
              </w:rPr>
              <w:t>Current Term Expires</w:t>
            </w:r>
          </w:p>
        </w:tc>
        <w:tc>
          <w:tcPr>
            <w:tcW w:w="2500" w:type="dxa"/>
            <w:vAlign w:val="bottom"/>
          </w:tcPr>
          <w:p>
            <w:pPr>
              <w:jc w:val="center"/>
              <w:spacing w:after="0"/>
              <w:rPr>
                <w:sz w:val="20"/>
                <w:szCs w:val="20"/>
                <w:color w:val="auto"/>
              </w:rPr>
            </w:pPr>
            <w:r>
              <w:rPr>
                <w:rFonts w:ascii="Arial" w:cs="Arial" w:eastAsia="Arial" w:hAnsi="Arial"/>
                <w:sz w:val="14"/>
                <w:szCs w:val="14"/>
                <w:b w:val="1"/>
                <w:bCs w:val="1"/>
                <w:color w:val="auto"/>
              </w:rPr>
              <w:t>Nominated</w:t>
            </w:r>
          </w:p>
        </w:tc>
      </w:tr>
      <w:tr>
        <w:trPr>
          <w:trHeight w:val="110"/>
        </w:trPr>
        <w:tc>
          <w:tcPr>
            <w:tcW w:w="2960" w:type="dxa"/>
            <w:vAlign w:val="bottom"/>
          </w:tcPr>
          <w:p>
            <w:pPr>
              <w:spacing w:after="0"/>
              <w:rPr>
                <w:sz w:val="9"/>
                <w:szCs w:val="9"/>
                <w:color w:val="auto"/>
              </w:rPr>
            </w:pPr>
          </w:p>
        </w:tc>
        <w:tc>
          <w:tcPr>
            <w:tcW w:w="26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20" w:type="dxa"/>
            <w:vAlign w:val="bottom"/>
          </w:tcPr>
          <w:p>
            <w:pPr>
              <w:spacing w:after="0"/>
              <w:rPr>
                <w:sz w:val="9"/>
                <w:szCs w:val="9"/>
                <w:color w:val="auto"/>
              </w:rPr>
            </w:pPr>
          </w:p>
        </w:tc>
        <w:tc>
          <w:tcPr>
            <w:tcW w:w="2500" w:type="dxa"/>
            <w:vAlign w:val="bottom"/>
          </w:tcPr>
          <w:p>
            <w:pPr>
              <w:spacing w:after="0"/>
              <w:rPr>
                <w:sz w:val="9"/>
                <w:szCs w:val="9"/>
                <w:color w:val="auto"/>
              </w:rPr>
            </w:pPr>
          </w:p>
        </w:tc>
      </w:tr>
      <w:tr>
        <w:trPr>
          <w:trHeight w:val="229"/>
        </w:trPr>
        <w:tc>
          <w:tcPr>
            <w:tcW w:w="2960" w:type="dxa"/>
            <w:vAlign w:val="bottom"/>
            <w:shd w:val="clear" w:color="auto" w:fill="F1F2F2"/>
          </w:tcPr>
          <w:p>
            <w:pPr>
              <w:ind w:left="100"/>
              <w:spacing w:after="0"/>
              <w:rPr>
                <w:sz w:val="20"/>
                <w:szCs w:val="20"/>
                <w:color w:val="auto"/>
              </w:rPr>
            </w:pPr>
            <w:r>
              <w:rPr>
                <w:rFonts w:ascii="Arial" w:cs="Arial" w:eastAsia="Arial" w:hAnsi="Arial"/>
                <w:sz w:val="14"/>
                <w:szCs w:val="14"/>
                <w:b w:val="1"/>
                <w:bCs w:val="1"/>
                <w:color w:val="auto"/>
              </w:rPr>
              <w:t>Nancy Dubuc</w:t>
            </w:r>
          </w:p>
        </w:tc>
        <w:tc>
          <w:tcPr>
            <w:tcW w:w="2620" w:type="dxa"/>
            <w:vAlign w:val="bottom"/>
            <w:shd w:val="clear" w:color="auto" w:fill="F1F2F2"/>
          </w:tcPr>
          <w:p>
            <w:pPr>
              <w:jc w:val="center"/>
              <w:ind w:left="1148"/>
              <w:spacing w:after="0"/>
              <w:rPr>
                <w:sz w:val="20"/>
                <w:szCs w:val="20"/>
                <w:color w:val="auto"/>
              </w:rPr>
            </w:pPr>
            <w:r>
              <w:rPr>
                <w:rFonts w:ascii="Arial" w:cs="Arial" w:eastAsia="Arial" w:hAnsi="Arial"/>
                <w:sz w:val="14"/>
                <w:szCs w:val="14"/>
                <w:color w:val="auto"/>
              </w:rPr>
              <w:t>I</w:t>
            </w:r>
          </w:p>
        </w:tc>
        <w:tc>
          <w:tcPr>
            <w:tcW w:w="1140" w:type="dxa"/>
            <w:vAlign w:val="bottom"/>
            <w:shd w:val="clear" w:color="auto" w:fill="F1F2F2"/>
          </w:tcPr>
          <w:p>
            <w:pPr>
              <w:jc w:val="center"/>
              <w:ind w:left="68"/>
              <w:spacing w:after="0"/>
              <w:rPr>
                <w:sz w:val="20"/>
                <w:szCs w:val="20"/>
                <w:color w:val="auto"/>
              </w:rPr>
            </w:pPr>
            <w:r>
              <w:rPr>
                <w:rFonts w:ascii="Arial" w:cs="Arial" w:eastAsia="Arial" w:hAnsi="Arial"/>
                <w:sz w:val="14"/>
                <w:szCs w:val="14"/>
                <w:color w:val="auto"/>
              </w:rPr>
              <w:t>57</w:t>
            </w:r>
          </w:p>
        </w:tc>
        <w:tc>
          <w:tcPr>
            <w:tcW w:w="2020" w:type="dxa"/>
            <w:vAlign w:val="bottom"/>
            <w:shd w:val="clear" w:color="auto" w:fill="F1F2F2"/>
          </w:tcPr>
          <w:p>
            <w:pPr>
              <w:jc w:val="center"/>
              <w:ind w:left="68"/>
              <w:spacing w:after="0"/>
              <w:rPr>
                <w:sz w:val="20"/>
                <w:szCs w:val="20"/>
                <w:color w:val="auto"/>
              </w:rPr>
            </w:pPr>
            <w:r>
              <w:rPr>
                <w:rFonts w:ascii="Arial" w:cs="Arial" w:eastAsia="Arial" w:hAnsi="Arial"/>
                <w:sz w:val="14"/>
                <w:szCs w:val="14"/>
                <w:color w:val="auto"/>
              </w:rPr>
              <w:t>2028</w:t>
            </w:r>
          </w:p>
        </w:tc>
        <w:tc>
          <w:tcPr>
            <w:tcW w:w="2500" w:type="dxa"/>
            <w:vAlign w:val="bottom"/>
            <w:shd w:val="clear" w:color="auto" w:fill="F1F2F2"/>
          </w:tcPr>
          <w:p>
            <w:pPr>
              <w:spacing w:after="0"/>
              <w:rPr>
                <w:sz w:val="19"/>
                <w:szCs w:val="19"/>
                <w:color w:val="auto"/>
              </w:rPr>
            </w:pPr>
          </w:p>
        </w:tc>
      </w:tr>
      <w:tr>
        <w:trPr>
          <w:trHeight w:val="222"/>
        </w:trPr>
        <w:tc>
          <w:tcPr>
            <w:tcW w:w="2960" w:type="dxa"/>
            <w:vAlign w:val="bottom"/>
          </w:tcPr>
          <w:p>
            <w:pPr>
              <w:ind w:left="100"/>
              <w:spacing w:after="0"/>
              <w:rPr>
                <w:sz w:val="20"/>
                <w:szCs w:val="20"/>
                <w:color w:val="auto"/>
              </w:rPr>
            </w:pPr>
            <w:r>
              <w:rPr>
                <w:rFonts w:ascii="Arial" w:cs="Arial" w:eastAsia="Arial" w:hAnsi="Arial"/>
                <w:sz w:val="14"/>
                <w:szCs w:val="14"/>
                <w:b w:val="1"/>
                <w:bCs w:val="1"/>
                <w:color w:val="auto"/>
              </w:rPr>
              <w:t>Yongsoo Kim</w:t>
            </w:r>
          </w:p>
        </w:tc>
        <w:tc>
          <w:tcPr>
            <w:tcW w:w="2620" w:type="dxa"/>
            <w:vAlign w:val="bottom"/>
          </w:tcPr>
          <w:p>
            <w:pPr>
              <w:jc w:val="center"/>
              <w:ind w:left="1148"/>
              <w:spacing w:after="0"/>
              <w:rPr>
                <w:sz w:val="20"/>
                <w:szCs w:val="20"/>
                <w:color w:val="auto"/>
              </w:rPr>
            </w:pPr>
            <w:r>
              <w:rPr>
                <w:rFonts w:ascii="Arial" w:cs="Arial" w:eastAsia="Arial" w:hAnsi="Arial"/>
                <w:sz w:val="14"/>
                <w:szCs w:val="14"/>
                <w:color w:val="auto"/>
              </w:rPr>
              <w:t>I</w:t>
            </w:r>
          </w:p>
        </w:tc>
        <w:tc>
          <w:tcPr>
            <w:tcW w:w="1140" w:type="dxa"/>
            <w:vAlign w:val="bottom"/>
          </w:tcPr>
          <w:p>
            <w:pPr>
              <w:jc w:val="center"/>
              <w:ind w:left="68"/>
              <w:spacing w:after="0"/>
              <w:rPr>
                <w:sz w:val="20"/>
                <w:szCs w:val="20"/>
                <w:color w:val="auto"/>
              </w:rPr>
            </w:pPr>
            <w:r>
              <w:rPr>
                <w:rFonts w:ascii="Arial" w:cs="Arial" w:eastAsia="Arial" w:hAnsi="Arial"/>
                <w:sz w:val="14"/>
                <w:szCs w:val="14"/>
                <w:color w:val="auto"/>
              </w:rPr>
              <w:t>40</w:t>
            </w:r>
          </w:p>
        </w:tc>
        <w:tc>
          <w:tcPr>
            <w:tcW w:w="2020" w:type="dxa"/>
            <w:vAlign w:val="bottom"/>
          </w:tcPr>
          <w:p>
            <w:pPr>
              <w:jc w:val="center"/>
              <w:ind w:left="68"/>
              <w:spacing w:after="0"/>
              <w:rPr>
                <w:sz w:val="20"/>
                <w:szCs w:val="20"/>
                <w:color w:val="auto"/>
              </w:rPr>
            </w:pPr>
            <w:r>
              <w:rPr>
                <w:rFonts w:ascii="Arial" w:cs="Arial" w:eastAsia="Arial" w:hAnsi="Arial"/>
                <w:sz w:val="14"/>
                <w:szCs w:val="14"/>
                <w:color w:val="auto"/>
              </w:rPr>
              <w:t>2028</w:t>
            </w:r>
          </w:p>
        </w:tc>
        <w:tc>
          <w:tcPr>
            <w:tcW w:w="2500" w:type="dxa"/>
            <w:vAlign w:val="bottom"/>
          </w:tcPr>
          <w:p>
            <w:pPr>
              <w:spacing w:after="0"/>
              <w:rPr>
                <w:sz w:val="19"/>
                <w:szCs w:val="19"/>
                <w:color w:val="auto"/>
              </w:rPr>
            </w:pPr>
          </w:p>
        </w:tc>
      </w:tr>
      <w:tr>
        <w:trPr>
          <w:trHeight w:val="237"/>
        </w:trPr>
        <w:tc>
          <w:tcPr>
            <w:tcW w:w="2960" w:type="dxa"/>
            <w:vAlign w:val="bottom"/>
            <w:shd w:val="clear" w:color="auto" w:fill="F1F2F2"/>
          </w:tcPr>
          <w:p>
            <w:pPr>
              <w:ind w:left="100"/>
              <w:spacing w:after="0"/>
              <w:rPr>
                <w:sz w:val="20"/>
                <w:szCs w:val="20"/>
                <w:color w:val="auto"/>
              </w:rPr>
            </w:pPr>
            <w:r>
              <w:rPr>
                <w:rFonts w:ascii="Arial" w:cs="Arial" w:eastAsia="Arial" w:hAnsi="Arial"/>
                <w:sz w:val="14"/>
                <w:szCs w:val="14"/>
                <w:b w:val="1"/>
                <w:bCs w:val="1"/>
                <w:color w:val="auto"/>
              </w:rPr>
              <w:t>Namsun Kim</w:t>
            </w:r>
          </w:p>
        </w:tc>
        <w:tc>
          <w:tcPr>
            <w:tcW w:w="2620" w:type="dxa"/>
            <w:vAlign w:val="bottom"/>
            <w:shd w:val="clear" w:color="auto" w:fill="F1F2F2"/>
          </w:tcPr>
          <w:p>
            <w:pPr>
              <w:jc w:val="center"/>
              <w:ind w:left="1148"/>
              <w:spacing w:after="0"/>
              <w:rPr>
                <w:sz w:val="20"/>
                <w:szCs w:val="20"/>
                <w:color w:val="auto"/>
              </w:rPr>
            </w:pPr>
            <w:r>
              <w:rPr>
                <w:rFonts w:ascii="Arial" w:cs="Arial" w:eastAsia="Arial" w:hAnsi="Arial"/>
                <w:sz w:val="14"/>
                <w:szCs w:val="14"/>
                <w:color w:val="auto"/>
              </w:rPr>
              <w:t>II</w:t>
            </w:r>
          </w:p>
        </w:tc>
        <w:tc>
          <w:tcPr>
            <w:tcW w:w="1140" w:type="dxa"/>
            <w:vAlign w:val="bottom"/>
            <w:shd w:val="clear" w:color="auto" w:fill="F1F2F2"/>
          </w:tcPr>
          <w:p>
            <w:pPr>
              <w:jc w:val="center"/>
              <w:ind w:left="68"/>
              <w:spacing w:after="0"/>
              <w:rPr>
                <w:sz w:val="20"/>
                <w:szCs w:val="20"/>
                <w:color w:val="auto"/>
              </w:rPr>
            </w:pPr>
            <w:r>
              <w:rPr>
                <w:rFonts w:ascii="Arial" w:cs="Arial" w:eastAsia="Arial" w:hAnsi="Arial"/>
                <w:sz w:val="14"/>
                <w:szCs w:val="14"/>
                <w:color w:val="auto"/>
              </w:rPr>
              <w:t>47</w:t>
            </w:r>
          </w:p>
        </w:tc>
        <w:tc>
          <w:tcPr>
            <w:tcW w:w="2020" w:type="dxa"/>
            <w:vAlign w:val="bottom"/>
            <w:shd w:val="clear" w:color="auto" w:fill="F1F2F2"/>
          </w:tcPr>
          <w:p>
            <w:pPr>
              <w:jc w:val="center"/>
              <w:ind w:left="68"/>
              <w:spacing w:after="0"/>
              <w:rPr>
                <w:sz w:val="20"/>
                <w:szCs w:val="20"/>
                <w:color w:val="auto"/>
              </w:rPr>
            </w:pPr>
            <w:r>
              <w:rPr>
                <w:rFonts w:ascii="Arial" w:cs="Arial" w:eastAsia="Arial" w:hAnsi="Arial"/>
                <w:sz w:val="14"/>
                <w:szCs w:val="14"/>
                <w:color w:val="auto"/>
              </w:rPr>
              <w:t>2026</w:t>
            </w:r>
          </w:p>
        </w:tc>
        <w:tc>
          <w:tcPr>
            <w:tcW w:w="2500" w:type="dxa"/>
            <w:vAlign w:val="bottom"/>
            <w:shd w:val="clear" w:color="auto" w:fill="F1F2F2"/>
          </w:tcPr>
          <w:p>
            <w:pPr>
              <w:jc w:val="center"/>
              <w:spacing w:after="0"/>
              <w:rPr>
                <w:sz w:val="20"/>
                <w:szCs w:val="20"/>
                <w:color w:val="auto"/>
              </w:rPr>
            </w:pPr>
            <w:r>
              <w:rPr>
                <w:rFonts w:ascii="Arial" w:cs="Arial" w:eastAsia="Arial" w:hAnsi="Arial"/>
                <w:sz w:val="14"/>
                <w:szCs w:val="14"/>
                <w:color w:val="auto"/>
              </w:rPr>
              <w:t>2029</w:t>
            </w:r>
          </w:p>
        </w:tc>
      </w:tr>
      <w:tr>
        <w:trPr>
          <w:trHeight w:val="222"/>
        </w:trPr>
        <w:tc>
          <w:tcPr>
            <w:tcW w:w="2960" w:type="dxa"/>
            <w:vAlign w:val="bottom"/>
          </w:tcPr>
          <w:p>
            <w:pPr>
              <w:ind w:left="100"/>
              <w:spacing w:after="0"/>
              <w:rPr>
                <w:sz w:val="20"/>
                <w:szCs w:val="20"/>
                <w:color w:val="auto"/>
              </w:rPr>
            </w:pPr>
            <w:r>
              <w:rPr>
                <w:rFonts w:ascii="Arial" w:cs="Arial" w:eastAsia="Arial" w:hAnsi="Arial"/>
                <w:sz w:val="14"/>
                <w:szCs w:val="14"/>
                <w:b w:val="1"/>
                <w:bCs w:val="1"/>
                <w:color w:val="auto"/>
              </w:rPr>
              <w:t>Jun Masuda</w:t>
            </w:r>
          </w:p>
        </w:tc>
        <w:tc>
          <w:tcPr>
            <w:tcW w:w="2620" w:type="dxa"/>
            <w:vAlign w:val="bottom"/>
          </w:tcPr>
          <w:p>
            <w:pPr>
              <w:jc w:val="center"/>
              <w:ind w:left="1148"/>
              <w:spacing w:after="0"/>
              <w:rPr>
                <w:sz w:val="20"/>
                <w:szCs w:val="20"/>
                <w:color w:val="auto"/>
              </w:rPr>
            </w:pPr>
            <w:r>
              <w:rPr>
                <w:rFonts w:ascii="Arial" w:cs="Arial" w:eastAsia="Arial" w:hAnsi="Arial"/>
                <w:sz w:val="14"/>
                <w:szCs w:val="14"/>
                <w:color w:val="auto"/>
              </w:rPr>
              <w:t>II</w:t>
            </w:r>
          </w:p>
        </w:tc>
        <w:tc>
          <w:tcPr>
            <w:tcW w:w="1140" w:type="dxa"/>
            <w:vAlign w:val="bottom"/>
          </w:tcPr>
          <w:p>
            <w:pPr>
              <w:jc w:val="center"/>
              <w:ind w:left="68"/>
              <w:spacing w:after="0"/>
              <w:rPr>
                <w:sz w:val="20"/>
                <w:szCs w:val="20"/>
                <w:color w:val="auto"/>
              </w:rPr>
            </w:pPr>
            <w:r>
              <w:rPr>
                <w:rFonts w:ascii="Arial" w:cs="Arial" w:eastAsia="Arial" w:hAnsi="Arial"/>
                <w:sz w:val="14"/>
                <w:szCs w:val="14"/>
                <w:color w:val="auto"/>
              </w:rPr>
              <w:t>48</w:t>
            </w:r>
          </w:p>
        </w:tc>
        <w:tc>
          <w:tcPr>
            <w:tcW w:w="2020" w:type="dxa"/>
            <w:vAlign w:val="bottom"/>
          </w:tcPr>
          <w:p>
            <w:pPr>
              <w:jc w:val="center"/>
              <w:ind w:left="68"/>
              <w:spacing w:after="0"/>
              <w:rPr>
                <w:sz w:val="20"/>
                <w:szCs w:val="20"/>
                <w:color w:val="auto"/>
              </w:rPr>
            </w:pPr>
            <w:r>
              <w:rPr>
                <w:rFonts w:ascii="Arial" w:cs="Arial" w:eastAsia="Arial" w:hAnsi="Arial"/>
                <w:sz w:val="14"/>
                <w:szCs w:val="14"/>
                <w:color w:val="auto"/>
              </w:rPr>
              <w:t>2026</w:t>
            </w:r>
          </w:p>
        </w:tc>
        <w:tc>
          <w:tcPr>
            <w:tcW w:w="2500" w:type="dxa"/>
            <w:vAlign w:val="bottom"/>
          </w:tcPr>
          <w:p>
            <w:pPr>
              <w:jc w:val="center"/>
              <w:spacing w:after="0"/>
              <w:rPr>
                <w:sz w:val="20"/>
                <w:szCs w:val="20"/>
                <w:color w:val="auto"/>
              </w:rPr>
            </w:pPr>
            <w:r>
              <w:rPr>
                <w:rFonts w:ascii="Arial" w:cs="Arial" w:eastAsia="Arial" w:hAnsi="Arial"/>
                <w:sz w:val="14"/>
                <w:szCs w:val="14"/>
                <w:color w:val="auto"/>
              </w:rPr>
              <w:t>2029</w:t>
            </w:r>
          </w:p>
        </w:tc>
      </w:tr>
      <w:tr>
        <w:trPr>
          <w:trHeight w:val="237"/>
        </w:trPr>
        <w:tc>
          <w:tcPr>
            <w:tcW w:w="2960" w:type="dxa"/>
            <w:vAlign w:val="bottom"/>
            <w:shd w:val="clear" w:color="auto" w:fill="F1F2F2"/>
          </w:tcPr>
          <w:p>
            <w:pPr>
              <w:ind w:left="100"/>
              <w:spacing w:after="0"/>
              <w:rPr>
                <w:sz w:val="20"/>
                <w:szCs w:val="20"/>
                <w:color w:val="auto"/>
              </w:rPr>
            </w:pPr>
            <w:r>
              <w:rPr>
                <w:rFonts w:ascii="Arial" w:cs="Arial" w:eastAsia="Arial" w:hAnsi="Arial"/>
                <w:sz w:val="14"/>
                <w:szCs w:val="14"/>
                <w:b w:val="1"/>
                <w:bCs w:val="1"/>
                <w:color w:val="auto"/>
              </w:rPr>
              <w:t>Isabelle Winkles</w:t>
            </w:r>
          </w:p>
        </w:tc>
        <w:tc>
          <w:tcPr>
            <w:tcW w:w="2620" w:type="dxa"/>
            <w:vAlign w:val="bottom"/>
            <w:shd w:val="clear" w:color="auto" w:fill="F1F2F2"/>
          </w:tcPr>
          <w:p>
            <w:pPr>
              <w:jc w:val="center"/>
              <w:ind w:left="1148"/>
              <w:spacing w:after="0"/>
              <w:rPr>
                <w:sz w:val="20"/>
                <w:szCs w:val="20"/>
                <w:color w:val="auto"/>
              </w:rPr>
            </w:pPr>
            <w:r>
              <w:rPr>
                <w:rFonts w:ascii="Arial" w:cs="Arial" w:eastAsia="Arial" w:hAnsi="Arial"/>
                <w:sz w:val="14"/>
                <w:szCs w:val="14"/>
                <w:color w:val="auto"/>
              </w:rPr>
              <w:t>II</w:t>
            </w:r>
          </w:p>
        </w:tc>
        <w:tc>
          <w:tcPr>
            <w:tcW w:w="1140" w:type="dxa"/>
            <w:vAlign w:val="bottom"/>
            <w:shd w:val="clear" w:color="auto" w:fill="F1F2F2"/>
          </w:tcPr>
          <w:p>
            <w:pPr>
              <w:jc w:val="center"/>
              <w:ind w:left="68"/>
              <w:spacing w:after="0"/>
              <w:rPr>
                <w:sz w:val="20"/>
                <w:szCs w:val="20"/>
                <w:color w:val="auto"/>
              </w:rPr>
            </w:pPr>
            <w:r>
              <w:rPr>
                <w:rFonts w:ascii="Arial" w:cs="Arial" w:eastAsia="Arial" w:hAnsi="Arial"/>
                <w:sz w:val="14"/>
                <w:szCs w:val="14"/>
                <w:color w:val="auto"/>
              </w:rPr>
              <w:t>48</w:t>
            </w:r>
          </w:p>
        </w:tc>
        <w:tc>
          <w:tcPr>
            <w:tcW w:w="2020" w:type="dxa"/>
            <w:vAlign w:val="bottom"/>
            <w:shd w:val="clear" w:color="auto" w:fill="F1F2F2"/>
          </w:tcPr>
          <w:p>
            <w:pPr>
              <w:jc w:val="center"/>
              <w:ind w:left="68"/>
              <w:spacing w:after="0"/>
              <w:rPr>
                <w:sz w:val="20"/>
                <w:szCs w:val="20"/>
                <w:color w:val="auto"/>
              </w:rPr>
            </w:pPr>
            <w:r>
              <w:rPr>
                <w:rFonts w:ascii="Arial" w:cs="Arial" w:eastAsia="Arial" w:hAnsi="Arial"/>
                <w:sz w:val="14"/>
                <w:szCs w:val="14"/>
                <w:color w:val="auto"/>
              </w:rPr>
              <w:t>2026</w:t>
            </w:r>
          </w:p>
        </w:tc>
        <w:tc>
          <w:tcPr>
            <w:tcW w:w="2500" w:type="dxa"/>
            <w:vAlign w:val="bottom"/>
            <w:shd w:val="clear" w:color="auto" w:fill="F1F2F2"/>
          </w:tcPr>
          <w:p>
            <w:pPr>
              <w:jc w:val="center"/>
              <w:spacing w:after="0"/>
              <w:rPr>
                <w:sz w:val="20"/>
                <w:szCs w:val="20"/>
                <w:color w:val="auto"/>
              </w:rPr>
            </w:pPr>
            <w:r>
              <w:rPr>
                <w:rFonts w:ascii="Arial" w:cs="Arial" w:eastAsia="Arial" w:hAnsi="Arial"/>
                <w:sz w:val="14"/>
                <w:szCs w:val="14"/>
                <w:color w:val="auto"/>
              </w:rPr>
              <w:t>2029</w:t>
            </w:r>
          </w:p>
        </w:tc>
      </w:tr>
      <w:tr>
        <w:trPr>
          <w:trHeight w:val="222"/>
        </w:trPr>
        <w:tc>
          <w:tcPr>
            <w:tcW w:w="2960" w:type="dxa"/>
            <w:vAlign w:val="bottom"/>
          </w:tcPr>
          <w:p>
            <w:pPr>
              <w:ind w:left="100"/>
              <w:spacing w:after="0"/>
              <w:rPr>
                <w:sz w:val="20"/>
                <w:szCs w:val="20"/>
                <w:color w:val="auto"/>
              </w:rPr>
            </w:pPr>
            <w:r>
              <w:rPr>
                <w:rFonts w:ascii="Arial" w:cs="Arial" w:eastAsia="Arial" w:hAnsi="Arial"/>
                <w:sz w:val="14"/>
                <w:szCs w:val="14"/>
                <w:b w:val="1"/>
                <w:bCs w:val="1"/>
                <w:color w:val="auto"/>
              </w:rPr>
              <w:t>Junkoo Kim</w:t>
            </w:r>
          </w:p>
        </w:tc>
        <w:tc>
          <w:tcPr>
            <w:tcW w:w="2620" w:type="dxa"/>
            <w:vAlign w:val="bottom"/>
          </w:tcPr>
          <w:p>
            <w:pPr>
              <w:jc w:val="center"/>
              <w:ind w:left="1148"/>
              <w:spacing w:after="0"/>
              <w:rPr>
                <w:sz w:val="20"/>
                <w:szCs w:val="20"/>
                <w:color w:val="auto"/>
              </w:rPr>
            </w:pPr>
            <w:r>
              <w:rPr>
                <w:rFonts w:ascii="Arial" w:cs="Arial" w:eastAsia="Arial" w:hAnsi="Arial"/>
                <w:sz w:val="14"/>
                <w:szCs w:val="14"/>
                <w:color w:val="auto"/>
              </w:rPr>
              <w:t>III</w:t>
            </w:r>
          </w:p>
        </w:tc>
        <w:tc>
          <w:tcPr>
            <w:tcW w:w="1140" w:type="dxa"/>
            <w:vAlign w:val="bottom"/>
          </w:tcPr>
          <w:p>
            <w:pPr>
              <w:jc w:val="center"/>
              <w:ind w:left="68"/>
              <w:spacing w:after="0"/>
              <w:rPr>
                <w:sz w:val="20"/>
                <w:szCs w:val="20"/>
                <w:color w:val="auto"/>
              </w:rPr>
            </w:pPr>
            <w:r>
              <w:rPr>
                <w:rFonts w:ascii="Arial" w:cs="Arial" w:eastAsia="Arial" w:hAnsi="Arial"/>
                <w:sz w:val="14"/>
                <w:szCs w:val="14"/>
                <w:color w:val="auto"/>
              </w:rPr>
              <w:t>48</w:t>
            </w:r>
          </w:p>
        </w:tc>
        <w:tc>
          <w:tcPr>
            <w:tcW w:w="2020" w:type="dxa"/>
            <w:vAlign w:val="bottom"/>
          </w:tcPr>
          <w:p>
            <w:pPr>
              <w:jc w:val="center"/>
              <w:ind w:left="68"/>
              <w:spacing w:after="0"/>
              <w:rPr>
                <w:sz w:val="20"/>
                <w:szCs w:val="20"/>
                <w:color w:val="auto"/>
              </w:rPr>
            </w:pPr>
            <w:r>
              <w:rPr>
                <w:rFonts w:ascii="Arial" w:cs="Arial" w:eastAsia="Arial" w:hAnsi="Arial"/>
                <w:sz w:val="14"/>
                <w:szCs w:val="14"/>
                <w:color w:val="auto"/>
              </w:rPr>
              <w:t>2027</w:t>
            </w:r>
          </w:p>
        </w:tc>
        <w:tc>
          <w:tcPr>
            <w:tcW w:w="2500" w:type="dxa"/>
            <w:vAlign w:val="bottom"/>
          </w:tcPr>
          <w:p>
            <w:pPr>
              <w:spacing w:after="0"/>
              <w:rPr>
                <w:sz w:val="19"/>
                <w:szCs w:val="19"/>
                <w:color w:val="auto"/>
              </w:rPr>
            </w:pPr>
          </w:p>
        </w:tc>
      </w:tr>
      <w:tr>
        <w:trPr>
          <w:trHeight w:val="237"/>
        </w:trPr>
        <w:tc>
          <w:tcPr>
            <w:tcW w:w="2960" w:type="dxa"/>
            <w:vAlign w:val="bottom"/>
            <w:shd w:val="clear" w:color="auto" w:fill="F1F2F2"/>
          </w:tcPr>
          <w:p>
            <w:pPr>
              <w:ind w:left="100"/>
              <w:spacing w:after="0"/>
              <w:rPr>
                <w:sz w:val="20"/>
                <w:szCs w:val="20"/>
                <w:color w:val="auto"/>
              </w:rPr>
            </w:pPr>
            <w:r>
              <w:rPr>
                <w:rFonts w:ascii="Arial" w:cs="Arial" w:eastAsia="Arial" w:hAnsi="Arial"/>
                <w:sz w:val="14"/>
                <w:szCs w:val="14"/>
                <w:b w:val="1"/>
                <w:bCs w:val="1"/>
                <w:color w:val="auto"/>
              </w:rPr>
              <w:t>David J. Lee</w:t>
            </w:r>
          </w:p>
        </w:tc>
        <w:tc>
          <w:tcPr>
            <w:tcW w:w="2620" w:type="dxa"/>
            <w:vAlign w:val="bottom"/>
            <w:shd w:val="clear" w:color="auto" w:fill="F1F2F2"/>
          </w:tcPr>
          <w:p>
            <w:pPr>
              <w:jc w:val="center"/>
              <w:ind w:left="1148"/>
              <w:spacing w:after="0"/>
              <w:rPr>
                <w:sz w:val="20"/>
                <w:szCs w:val="20"/>
                <w:color w:val="auto"/>
              </w:rPr>
            </w:pPr>
            <w:r>
              <w:rPr>
                <w:rFonts w:ascii="Arial" w:cs="Arial" w:eastAsia="Arial" w:hAnsi="Arial"/>
                <w:sz w:val="14"/>
                <w:szCs w:val="14"/>
                <w:color w:val="auto"/>
              </w:rPr>
              <w:t>III</w:t>
            </w:r>
          </w:p>
        </w:tc>
        <w:tc>
          <w:tcPr>
            <w:tcW w:w="1140" w:type="dxa"/>
            <w:vAlign w:val="bottom"/>
            <w:shd w:val="clear" w:color="auto" w:fill="F1F2F2"/>
          </w:tcPr>
          <w:p>
            <w:pPr>
              <w:jc w:val="center"/>
              <w:ind w:left="68"/>
              <w:spacing w:after="0"/>
              <w:rPr>
                <w:sz w:val="20"/>
                <w:szCs w:val="20"/>
                <w:color w:val="auto"/>
              </w:rPr>
            </w:pPr>
            <w:r>
              <w:rPr>
                <w:rFonts w:ascii="Arial" w:cs="Arial" w:eastAsia="Arial" w:hAnsi="Arial"/>
                <w:sz w:val="14"/>
                <w:szCs w:val="14"/>
                <w:color w:val="auto"/>
              </w:rPr>
              <w:t>54</w:t>
            </w:r>
          </w:p>
        </w:tc>
        <w:tc>
          <w:tcPr>
            <w:tcW w:w="2020" w:type="dxa"/>
            <w:vAlign w:val="bottom"/>
            <w:shd w:val="clear" w:color="auto" w:fill="F1F2F2"/>
          </w:tcPr>
          <w:p>
            <w:pPr>
              <w:jc w:val="center"/>
              <w:ind w:left="68"/>
              <w:spacing w:after="0"/>
              <w:rPr>
                <w:sz w:val="20"/>
                <w:szCs w:val="20"/>
                <w:color w:val="auto"/>
              </w:rPr>
            </w:pPr>
            <w:r>
              <w:rPr>
                <w:rFonts w:ascii="Arial" w:cs="Arial" w:eastAsia="Arial" w:hAnsi="Arial"/>
                <w:sz w:val="14"/>
                <w:szCs w:val="14"/>
                <w:color w:val="auto"/>
              </w:rPr>
              <w:t>2027</w:t>
            </w:r>
          </w:p>
        </w:tc>
        <w:tc>
          <w:tcPr>
            <w:tcW w:w="2500" w:type="dxa"/>
            <w:vAlign w:val="bottom"/>
            <w:shd w:val="clear" w:color="auto" w:fill="F1F2F2"/>
          </w:tcPr>
          <w:p>
            <w:pPr>
              <w:spacing w:after="0"/>
              <w:rPr>
                <w:sz w:val="20"/>
                <w:szCs w:val="20"/>
                <w:color w:val="auto"/>
              </w:rPr>
            </w:pPr>
          </w:p>
        </w:tc>
      </w:tr>
      <w:tr>
        <w:trPr>
          <w:trHeight w:val="222"/>
        </w:trPr>
        <w:tc>
          <w:tcPr>
            <w:tcW w:w="2960" w:type="dxa"/>
            <w:vAlign w:val="bottom"/>
          </w:tcPr>
          <w:p>
            <w:pPr>
              <w:ind w:left="100"/>
              <w:spacing w:after="0"/>
              <w:rPr>
                <w:sz w:val="20"/>
                <w:szCs w:val="20"/>
                <w:color w:val="auto"/>
              </w:rPr>
            </w:pPr>
            <w:r>
              <w:rPr>
                <w:rFonts w:ascii="Arial" w:cs="Arial" w:eastAsia="Arial" w:hAnsi="Arial"/>
                <w:sz w:val="14"/>
                <w:szCs w:val="14"/>
                <w:b w:val="1"/>
                <w:bCs w:val="1"/>
                <w:color w:val="auto"/>
              </w:rPr>
              <w:t>Haejin Lee</w:t>
            </w:r>
          </w:p>
        </w:tc>
        <w:tc>
          <w:tcPr>
            <w:tcW w:w="2620" w:type="dxa"/>
            <w:vAlign w:val="bottom"/>
          </w:tcPr>
          <w:p>
            <w:pPr>
              <w:jc w:val="center"/>
              <w:ind w:left="1148"/>
              <w:spacing w:after="0"/>
              <w:rPr>
                <w:sz w:val="20"/>
                <w:szCs w:val="20"/>
                <w:color w:val="auto"/>
              </w:rPr>
            </w:pPr>
            <w:r>
              <w:rPr>
                <w:rFonts w:ascii="Arial" w:cs="Arial" w:eastAsia="Arial" w:hAnsi="Arial"/>
                <w:sz w:val="14"/>
                <w:szCs w:val="14"/>
                <w:color w:val="auto"/>
              </w:rPr>
              <w:t>III</w:t>
            </w:r>
          </w:p>
        </w:tc>
        <w:tc>
          <w:tcPr>
            <w:tcW w:w="1140" w:type="dxa"/>
            <w:vAlign w:val="bottom"/>
          </w:tcPr>
          <w:p>
            <w:pPr>
              <w:jc w:val="center"/>
              <w:ind w:left="68"/>
              <w:spacing w:after="0"/>
              <w:rPr>
                <w:sz w:val="20"/>
                <w:szCs w:val="20"/>
                <w:color w:val="auto"/>
              </w:rPr>
            </w:pPr>
            <w:r>
              <w:rPr>
                <w:rFonts w:ascii="Arial" w:cs="Arial" w:eastAsia="Arial" w:hAnsi="Arial"/>
                <w:sz w:val="14"/>
                <w:szCs w:val="14"/>
                <w:color w:val="auto"/>
              </w:rPr>
              <w:t>58</w:t>
            </w:r>
          </w:p>
        </w:tc>
        <w:tc>
          <w:tcPr>
            <w:tcW w:w="2020" w:type="dxa"/>
            <w:vAlign w:val="bottom"/>
          </w:tcPr>
          <w:p>
            <w:pPr>
              <w:jc w:val="center"/>
              <w:ind w:left="68"/>
              <w:spacing w:after="0"/>
              <w:rPr>
                <w:sz w:val="20"/>
                <w:szCs w:val="20"/>
                <w:color w:val="auto"/>
              </w:rPr>
            </w:pPr>
            <w:r>
              <w:rPr>
                <w:rFonts w:ascii="Arial" w:cs="Arial" w:eastAsia="Arial" w:hAnsi="Arial"/>
                <w:sz w:val="14"/>
                <w:szCs w:val="14"/>
                <w:color w:val="auto"/>
              </w:rPr>
              <w:t>2027</w:t>
            </w:r>
          </w:p>
        </w:tc>
        <w:tc>
          <w:tcPr>
            <w:tcW w:w="2500" w:type="dxa"/>
            <w:vAlign w:val="bottom"/>
          </w:tcPr>
          <w:p>
            <w:pPr>
              <w:spacing w:after="0"/>
              <w:rPr>
                <w:sz w:val="19"/>
                <w:szCs w:val="19"/>
                <w:color w:val="auto"/>
              </w:rPr>
            </w:pPr>
          </w:p>
        </w:tc>
      </w:tr>
      <w:tr>
        <w:trPr>
          <w:trHeight w:val="231"/>
        </w:trPr>
        <w:tc>
          <w:tcPr>
            <w:tcW w:w="2960" w:type="dxa"/>
            <w:vAlign w:val="bottom"/>
            <w:tcBorders>
              <w:bottom w:val="single" w:sz="8" w:color="auto"/>
            </w:tcBorders>
            <w:shd w:val="clear" w:color="auto" w:fill="F1F2F2"/>
          </w:tcPr>
          <w:p>
            <w:pPr>
              <w:ind w:left="100"/>
              <w:spacing w:after="0"/>
              <w:rPr>
                <w:sz w:val="20"/>
                <w:szCs w:val="20"/>
                <w:color w:val="auto"/>
              </w:rPr>
            </w:pPr>
            <w:r>
              <w:rPr>
                <w:rFonts w:ascii="Arial" w:cs="Arial" w:eastAsia="Arial" w:hAnsi="Arial"/>
                <w:sz w:val="14"/>
                <w:szCs w:val="14"/>
                <w:b w:val="1"/>
                <w:bCs w:val="1"/>
                <w:color w:val="auto"/>
              </w:rPr>
              <w:t>Saeju Jeong</w:t>
            </w:r>
          </w:p>
        </w:tc>
        <w:tc>
          <w:tcPr>
            <w:tcW w:w="2620" w:type="dxa"/>
            <w:vAlign w:val="bottom"/>
            <w:tcBorders>
              <w:bottom w:val="single" w:sz="8" w:color="auto"/>
            </w:tcBorders>
            <w:shd w:val="clear" w:color="auto" w:fill="F1F2F2"/>
          </w:tcPr>
          <w:p>
            <w:pPr>
              <w:jc w:val="center"/>
              <w:ind w:left="1148"/>
              <w:spacing w:after="0"/>
              <w:rPr>
                <w:sz w:val="20"/>
                <w:szCs w:val="20"/>
                <w:color w:val="auto"/>
              </w:rPr>
            </w:pPr>
            <w:r>
              <w:rPr>
                <w:rFonts w:ascii="Arial" w:cs="Arial" w:eastAsia="Arial" w:hAnsi="Arial"/>
                <w:sz w:val="14"/>
                <w:szCs w:val="14"/>
                <w:color w:val="auto"/>
              </w:rPr>
              <w:t>III</w:t>
            </w:r>
          </w:p>
        </w:tc>
        <w:tc>
          <w:tcPr>
            <w:tcW w:w="1140" w:type="dxa"/>
            <w:vAlign w:val="bottom"/>
            <w:tcBorders>
              <w:bottom w:val="single" w:sz="8" w:color="auto"/>
            </w:tcBorders>
            <w:shd w:val="clear" w:color="auto" w:fill="F1F2F2"/>
          </w:tcPr>
          <w:p>
            <w:pPr>
              <w:jc w:val="center"/>
              <w:ind w:left="68"/>
              <w:spacing w:after="0"/>
              <w:rPr>
                <w:sz w:val="20"/>
                <w:szCs w:val="20"/>
                <w:color w:val="auto"/>
              </w:rPr>
            </w:pPr>
            <w:r>
              <w:rPr>
                <w:rFonts w:ascii="Arial" w:cs="Arial" w:eastAsia="Arial" w:hAnsi="Arial"/>
                <w:sz w:val="14"/>
                <w:szCs w:val="14"/>
                <w:color w:val="auto"/>
              </w:rPr>
              <w:t>46</w:t>
            </w:r>
          </w:p>
        </w:tc>
        <w:tc>
          <w:tcPr>
            <w:tcW w:w="2020" w:type="dxa"/>
            <w:vAlign w:val="bottom"/>
            <w:tcBorders>
              <w:bottom w:val="single" w:sz="8" w:color="auto"/>
            </w:tcBorders>
            <w:shd w:val="clear" w:color="auto" w:fill="F1F2F2"/>
          </w:tcPr>
          <w:p>
            <w:pPr>
              <w:jc w:val="center"/>
              <w:ind w:left="68"/>
              <w:spacing w:after="0"/>
              <w:rPr>
                <w:sz w:val="20"/>
                <w:szCs w:val="20"/>
                <w:color w:val="auto"/>
              </w:rPr>
            </w:pPr>
            <w:r>
              <w:rPr>
                <w:rFonts w:ascii="Arial" w:cs="Arial" w:eastAsia="Arial" w:hAnsi="Arial"/>
                <w:sz w:val="14"/>
                <w:szCs w:val="14"/>
                <w:color w:val="auto"/>
              </w:rPr>
              <w:t>2027</w:t>
            </w:r>
          </w:p>
        </w:tc>
        <w:tc>
          <w:tcPr>
            <w:tcW w:w="2500" w:type="dxa"/>
            <w:vAlign w:val="bottom"/>
            <w:tcBorders>
              <w:bottom w:val="single" w:sz="8" w:color="auto"/>
            </w:tcBorders>
            <w:shd w:val="clear" w:color="auto" w:fill="F1F2F2"/>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386080</wp:posOffset>
            </wp:positionV>
            <wp:extent cx="282575" cy="2743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82575"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320" w:type="dxa"/>
            <w:vAlign w:val="bottom"/>
          </w:tcPr>
          <w:p>
            <w:pPr>
              <w:ind w:left="20"/>
              <w:spacing w:after="0"/>
              <w:rPr>
                <w:sz w:val="20"/>
                <w:szCs w:val="20"/>
                <w:color w:val="auto"/>
              </w:rPr>
            </w:pPr>
            <w:r>
              <w:rPr>
                <w:rFonts w:ascii="Arial" w:cs="Arial" w:eastAsia="Arial" w:hAnsi="Arial"/>
                <w:sz w:val="14"/>
                <w:szCs w:val="14"/>
                <w:b w:val="1"/>
                <w:bCs w:val="1"/>
                <w:color w:val="auto"/>
              </w:rPr>
              <w:t>2026 Proxy Statement</w:t>
            </w:r>
          </w:p>
        </w:tc>
        <w:tc>
          <w:tcPr>
            <w:tcW w:w="4920" w:type="dxa"/>
            <w:vAlign w:val="bottom"/>
          </w:tcPr>
          <w:p>
            <w:pPr>
              <w:jc w:val="right"/>
              <w:spacing w:after="0"/>
              <w:rPr>
                <w:sz w:val="20"/>
                <w:szCs w:val="20"/>
                <w:color w:val="auto"/>
              </w:rPr>
            </w:pPr>
            <w:r>
              <w:rPr>
                <w:rFonts w:ascii="Arial" w:cs="Arial" w:eastAsia="Arial" w:hAnsi="Arial"/>
                <w:sz w:val="14"/>
                <w:szCs w:val="14"/>
                <w:b w:val="1"/>
                <w:bCs w:val="1"/>
                <w:color w:val="auto"/>
              </w:rPr>
              <w:t>5</w:t>
            </w:r>
          </w:p>
        </w:tc>
      </w:tr>
      <w:tr>
        <w:trPr>
          <w:trHeight w:val="373"/>
        </w:trPr>
        <w:tc>
          <w:tcPr>
            <w:tcW w:w="6320" w:type="dxa"/>
            <w:vAlign w:val="bottom"/>
            <w:tcBorders>
              <w:bottom w:val="single" w:sz="8" w:color="9A9A9A"/>
            </w:tcBorders>
          </w:tcPr>
          <w:p>
            <w:pPr>
              <w:spacing w:after="0"/>
              <w:rPr>
                <w:sz w:val="24"/>
                <w:szCs w:val="24"/>
                <w:color w:val="auto"/>
              </w:rPr>
            </w:pPr>
          </w:p>
        </w:tc>
        <w:tc>
          <w:tcPr>
            <w:tcW w:w="4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9" w:name="page10"/>
    <w:bookmarkEnd w:id="9"/>
    <w:p>
      <w:pPr>
        <w:ind w:left="10120"/>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20"/>
          <w:szCs w:val="20"/>
          <w:b w:val="1"/>
          <w:bCs w:val="1"/>
          <w:color w:val="00DC64"/>
        </w:rPr>
        <w:t>DIRECTOR SKILLS</w:t>
      </w:r>
    </w:p>
    <w:p>
      <w:pPr>
        <w:spacing w:after="0" w:line="198" w:lineRule="exact"/>
        <w:rPr>
          <w:sz w:val="20"/>
          <w:szCs w:val="20"/>
          <w:color w:val="auto"/>
        </w:rPr>
      </w:pPr>
    </w:p>
    <w:p>
      <w:pPr>
        <w:ind w:right="440"/>
        <w:spacing w:after="0" w:line="310" w:lineRule="auto"/>
        <w:rPr>
          <w:sz w:val="20"/>
          <w:szCs w:val="20"/>
          <w:color w:val="auto"/>
        </w:rPr>
      </w:pPr>
      <w:r>
        <w:rPr>
          <w:rFonts w:ascii="Arial" w:cs="Arial" w:eastAsia="Arial" w:hAnsi="Arial"/>
          <w:sz w:val="16"/>
          <w:szCs w:val="16"/>
          <w:color w:val="auto"/>
        </w:rPr>
        <w:t>Our directors are responsible for overseeing the Company’s business consistent with their fiduciary duties. This significant responsibility requires highly skilled individuals with various qualities, attributes, and professional experiences. We believe the Board is well-rounded, with a balance of relevant perspectives and experience, as illustrated in the following chart.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40" w:type="dxa"/>
            <w:vAlign w:val="bottom"/>
          </w:tcPr>
          <w:p>
            <w:pPr>
              <w:ind w:left="140"/>
              <w:spacing w:after="0"/>
              <w:rPr>
                <w:sz w:val="20"/>
                <w:szCs w:val="20"/>
                <w:color w:val="auto"/>
              </w:rPr>
            </w:pPr>
            <w:r>
              <w:rPr>
                <w:rFonts w:ascii="Arial" w:cs="Arial" w:eastAsia="Arial" w:hAnsi="Arial"/>
                <w:sz w:val="14"/>
                <w:szCs w:val="14"/>
                <w:b w:val="1"/>
                <w:bCs w:val="1"/>
                <w:color w:val="auto"/>
              </w:rPr>
              <w:t>Skills</w:t>
            </w:r>
          </w:p>
        </w:tc>
        <w:tc>
          <w:tcPr>
            <w:tcW w:w="1540" w:type="dxa"/>
            <w:vAlign w:val="bottom"/>
          </w:tcPr>
          <w:p>
            <w:pPr>
              <w:ind w:left="20"/>
              <w:spacing w:after="0"/>
              <w:rPr>
                <w:sz w:val="20"/>
                <w:szCs w:val="20"/>
                <w:color w:val="auto"/>
              </w:rPr>
            </w:pPr>
            <w:r>
              <w:rPr>
                <w:rFonts w:ascii="Arial" w:cs="Arial" w:eastAsia="Arial" w:hAnsi="Arial"/>
                <w:sz w:val="14"/>
                <w:szCs w:val="14"/>
                <w:b w:val="1"/>
                <w:bCs w:val="1"/>
                <w:color w:val="auto"/>
              </w:rPr>
              <w:t>Directors</w:t>
            </w:r>
          </w:p>
        </w:tc>
        <w:tc>
          <w:tcPr>
            <w:tcW w:w="2060" w:type="dxa"/>
            <w:vAlign w:val="bottom"/>
          </w:tcPr>
          <w:p>
            <w:pPr>
              <w:spacing w:after="0"/>
              <w:rPr>
                <w:sz w:val="17"/>
                <w:szCs w:val="17"/>
                <w:color w:val="auto"/>
              </w:rPr>
            </w:pPr>
          </w:p>
        </w:tc>
      </w:tr>
      <w:tr>
        <w:trPr>
          <w:trHeight w:val="110"/>
        </w:trPr>
        <w:tc>
          <w:tcPr>
            <w:tcW w:w="76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60" w:type="dxa"/>
            <w:vAlign w:val="bottom"/>
          </w:tcPr>
          <w:p>
            <w:pPr>
              <w:spacing w:after="0"/>
              <w:rPr>
                <w:sz w:val="9"/>
                <w:szCs w:val="9"/>
                <w:color w:val="auto"/>
              </w:rPr>
            </w:pPr>
          </w:p>
        </w:tc>
      </w:tr>
      <w:tr>
        <w:trPr>
          <w:trHeight w:val="301"/>
        </w:trPr>
        <w:tc>
          <w:tcPr>
            <w:tcW w:w="7640" w:type="dxa"/>
            <w:vAlign w:val="bottom"/>
            <w:shd w:val="clear" w:color="auto" w:fill="F1F2F2"/>
          </w:tcPr>
          <w:p>
            <w:pPr>
              <w:ind w:left="140"/>
              <w:spacing w:after="0"/>
              <w:rPr>
                <w:sz w:val="20"/>
                <w:szCs w:val="20"/>
                <w:color w:val="auto"/>
              </w:rPr>
            </w:pPr>
            <w:r>
              <w:rPr>
                <w:rFonts w:ascii="Arial" w:cs="Arial" w:eastAsia="Arial" w:hAnsi="Arial"/>
                <w:sz w:val="16"/>
                <w:szCs w:val="16"/>
                <w:b w:val="1"/>
                <w:bCs w:val="1"/>
                <w:color w:val="00DC64"/>
              </w:rPr>
              <w:t>LEADERSHIP</w:t>
            </w:r>
          </w:p>
        </w:tc>
        <w:tc>
          <w:tcPr>
            <w:tcW w:w="1540" w:type="dxa"/>
            <w:vAlign w:val="bottom"/>
            <w:shd w:val="clear" w:color="auto" w:fill="F1F2F2"/>
          </w:tcPr>
          <w:p>
            <w:pPr>
              <w:ind w:left="20"/>
              <w:spacing w:after="0"/>
              <w:rPr>
                <w:sz w:val="20"/>
                <w:szCs w:val="20"/>
                <w:color w:val="auto"/>
              </w:rPr>
            </w:pPr>
            <w:r>
              <w:rPr>
                <w:rFonts w:ascii="Arial" w:cs="Arial" w:eastAsia="Arial" w:hAnsi="Arial"/>
                <w:sz w:val="14"/>
                <w:szCs w:val="14"/>
                <w:b w:val="1"/>
                <w:bCs w:val="1"/>
                <w:color w:val="auto"/>
              </w:rPr>
              <w:t>Junkoo Kim</w:t>
            </w:r>
          </w:p>
        </w:tc>
        <w:tc>
          <w:tcPr>
            <w:tcW w:w="2060" w:type="dxa"/>
            <w:vAlign w:val="bottom"/>
            <w:shd w:val="clear" w:color="auto" w:fill="F1F2F2"/>
          </w:tcPr>
          <w:p>
            <w:pPr>
              <w:ind w:left="400"/>
              <w:spacing w:after="0"/>
              <w:rPr>
                <w:sz w:val="20"/>
                <w:szCs w:val="20"/>
                <w:color w:val="auto"/>
              </w:rPr>
            </w:pPr>
            <w:r>
              <w:rPr>
                <w:rFonts w:ascii="Arial" w:cs="Arial" w:eastAsia="Arial" w:hAnsi="Arial"/>
                <w:sz w:val="14"/>
                <w:szCs w:val="14"/>
                <w:b w:val="1"/>
                <w:bCs w:val="1"/>
                <w:color w:val="auto"/>
              </w:rPr>
              <w:t>David J. Lee</w:t>
            </w:r>
          </w:p>
        </w:tc>
      </w:tr>
      <w:tr>
        <w:trPr>
          <w:trHeight w:val="176"/>
        </w:trPr>
        <w:tc>
          <w:tcPr>
            <w:tcW w:w="7640" w:type="dxa"/>
            <w:vAlign w:val="bottom"/>
            <w:shd w:val="clear" w:color="auto" w:fill="F1F2F2"/>
          </w:tcPr>
          <w:p>
            <w:pPr>
              <w:spacing w:after="0"/>
              <w:rPr>
                <w:sz w:val="15"/>
                <w:szCs w:val="15"/>
                <w:color w:val="auto"/>
              </w:rPr>
            </w:pPr>
          </w:p>
        </w:tc>
        <w:tc>
          <w:tcPr>
            <w:tcW w:w="1540" w:type="dxa"/>
            <w:vAlign w:val="bottom"/>
            <w:shd w:val="clear" w:color="auto" w:fill="F1F2F2"/>
          </w:tcPr>
          <w:p>
            <w:pPr>
              <w:ind w:left="20"/>
              <w:spacing w:after="0"/>
              <w:rPr>
                <w:sz w:val="20"/>
                <w:szCs w:val="20"/>
                <w:color w:val="auto"/>
              </w:rPr>
            </w:pPr>
            <w:r>
              <w:rPr>
                <w:rFonts w:ascii="Arial" w:cs="Arial" w:eastAsia="Arial" w:hAnsi="Arial"/>
                <w:sz w:val="14"/>
                <w:szCs w:val="14"/>
                <w:b w:val="1"/>
                <w:bCs w:val="1"/>
                <w:color w:val="auto"/>
              </w:rPr>
              <w:t>Haejin Lee</w:t>
            </w:r>
          </w:p>
        </w:tc>
        <w:tc>
          <w:tcPr>
            <w:tcW w:w="2060" w:type="dxa"/>
            <w:vAlign w:val="bottom"/>
            <w:shd w:val="clear" w:color="auto" w:fill="F1F2F2"/>
          </w:tcPr>
          <w:p>
            <w:pPr>
              <w:ind w:left="400"/>
              <w:spacing w:after="0"/>
              <w:rPr>
                <w:sz w:val="20"/>
                <w:szCs w:val="20"/>
                <w:color w:val="auto"/>
              </w:rPr>
            </w:pPr>
            <w:r>
              <w:rPr>
                <w:rFonts w:ascii="Arial" w:cs="Arial" w:eastAsia="Arial" w:hAnsi="Arial"/>
                <w:sz w:val="14"/>
                <w:szCs w:val="14"/>
                <w:b w:val="1"/>
                <w:bCs w:val="1"/>
                <w:color w:val="auto"/>
              </w:rPr>
              <w:t>Jun Masuda</w:t>
            </w:r>
          </w:p>
        </w:tc>
      </w:tr>
      <w:tr>
        <w:trPr>
          <w:trHeight w:val="171"/>
        </w:trPr>
        <w:tc>
          <w:tcPr>
            <w:tcW w:w="7640" w:type="dxa"/>
            <w:vAlign w:val="bottom"/>
            <w:shd w:val="clear" w:color="auto" w:fill="F1F2F2"/>
          </w:tcPr>
          <w:p>
            <w:pPr>
              <w:spacing w:after="0"/>
              <w:rPr>
                <w:sz w:val="14"/>
                <w:szCs w:val="14"/>
                <w:color w:val="auto"/>
              </w:rPr>
            </w:pPr>
          </w:p>
        </w:tc>
        <w:tc>
          <w:tcPr>
            <w:tcW w:w="1540" w:type="dxa"/>
            <w:vAlign w:val="bottom"/>
            <w:shd w:val="clear" w:color="auto" w:fill="F1F2F2"/>
          </w:tcPr>
          <w:p>
            <w:pPr>
              <w:ind w:left="20"/>
              <w:spacing w:after="0"/>
              <w:rPr>
                <w:sz w:val="20"/>
                <w:szCs w:val="20"/>
                <w:color w:val="auto"/>
              </w:rPr>
            </w:pPr>
            <w:r>
              <w:rPr>
                <w:rFonts w:ascii="Arial" w:cs="Arial" w:eastAsia="Arial" w:hAnsi="Arial"/>
                <w:sz w:val="14"/>
                <w:szCs w:val="14"/>
                <w:b w:val="1"/>
                <w:bCs w:val="1"/>
                <w:color w:val="auto"/>
              </w:rPr>
              <w:t>Nancy Dubuc</w:t>
            </w:r>
          </w:p>
        </w:tc>
        <w:tc>
          <w:tcPr>
            <w:tcW w:w="2060" w:type="dxa"/>
            <w:vAlign w:val="bottom"/>
            <w:shd w:val="clear" w:color="auto" w:fill="F1F2F2"/>
          </w:tcPr>
          <w:p>
            <w:pPr>
              <w:ind w:left="400"/>
              <w:spacing w:after="0"/>
              <w:rPr>
                <w:sz w:val="20"/>
                <w:szCs w:val="20"/>
                <w:color w:val="auto"/>
              </w:rPr>
            </w:pPr>
            <w:r>
              <w:rPr>
                <w:rFonts w:ascii="Arial" w:cs="Arial" w:eastAsia="Arial" w:hAnsi="Arial"/>
                <w:sz w:val="14"/>
                <w:szCs w:val="14"/>
                <w:b w:val="1"/>
                <w:bCs w:val="1"/>
                <w:color w:val="auto"/>
              </w:rPr>
              <w:t>Namsun Kim</w:t>
            </w:r>
          </w:p>
        </w:tc>
      </w:tr>
      <w:tr>
        <w:trPr>
          <w:trHeight w:val="166"/>
        </w:trPr>
        <w:tc>
          <w:tcPr>
            <w:tcW w:w="7640" w:type="dxa"/>
            <w:vAlign w:val="bottom"/>
            <w:shd w:val="clear" w:color="auto" w:fill="F1F2F2"/>
          </w:tcPr>
          <w:p>
            <w:pPr>
              <w:ind w:left="140"/>
              <w:spacing w:after="0"/>
              <w:rPr>
                <w:sz w:val="20"/>
                <w:szCs w:val="20"/>
                <w:color w:val="auto"/>
              </w:rPr>
            </w:pPr>
            <w:r>
              <w:rPr>
                <w:rFonts w:ascii="Arial" w:cs="Arial" w:eastAsia="Arial" w:hAnsi="Arial"/>
                <w:sz w:val="14"/>
                <w:szCs w:val="14"/>
                <w:color w:val="auto"/>
              </w:rPr>
              <w:t>Experience leading a large organization, resulting in a comprehensive understanding of organizational behavior</w:t>
            </w:r>
          </w:p>
        </w:tc>
        <w:tc>
          <w:tcPr>
            <w:tcW w:w="1540" w:type="dxa"/>
            <w:vAlign w:val="bottom"/>
            <w:shd w:val="clear" w:color="auto" w:fill="F1F2F2"/>
          </w:tcPr>
          <w:p>
            <w:pPr>
              <w:ind w:left="20"/>
              <w:spacing w:after="0"/>
              <w:rPr>
                <w:sz w:val="20"/>
                <w:szCs w:val="20"/>
                <w:color w:val="auto"/>
              </w:rPr>
            </w:pPr>
            <w:r>
              <w:rPr>
                <w:rFonts w:ascii="Arial" w:cs="Arial" w:eastAsia="Arial" w:hAnsi="Arial"/>
                <w:sz w:val="14"/>
                <w:szCs w:val="14"/>
                <w:b w:val="1"/>
                <w:bCs w:val="1"/>
                <w:color w:val="auto"/>
              </w:rPr>
              <w:t>Isabelle Winkles</w:t>
            </w:r>
          </w:p>
        </w:tc>
        <w:tc>
          <w:tcPr>
            <w:tcW w:w="2060" w:type="dxa"/>
            <w:vAlign w:val="bottom"/>
            <w:shd w:val="clear" w:color="auto" w:fill="F1F2F2"/>
          </w:tcPr>
          <w:p>
            <w:pPr>
              <w:ind w:left="400"/>
              <w:spacing w:after="0"/>
              <w:rPr>
                <w:sz w:val="20"/>
                <w:szCs w:val="20"/>
                <w:color w:val="auto"/>
              </w:rPr>
            </w:pPr>
            <w:r>
              <w:rPr>
                <w:rFonts w:ascii="Arial" w:cs="Arial" w:eastAsia="Arial" w:hAnsi="Arial"/>
                <w:sz w:val="14"/>
                <w:szCs w:val="14"/>
                <w:b w:val="1"/>
                <w:bCs w:val="1"/>
                <w:color w:val="auto"/>
              </w:rPr>
              <w:t>Saeju Jeong</w:t>
            </w:r>
          </w:p>
        </w:tc>
      </w:tr>
      <w:tr>
        <w:trPr>
          <w:trHeight w:val="217"/>
        </w:trPr>
        <w:tc>
          <w:tcPr>
            <w:tcW w:w="7640" w:type="dxa"/>
            <w:vAlign w:val="bottom"/>
            <w:shd w:val="clear" w:color="auto" w:fill="F1F2F2"/>
          </w:tcPr>
          <w:p>
            <w:pPr>
              <w:ind w:left="140"/>
              <w:spacing w:after="0"/>
              <w:rPr>
                <w:sz w:val="20"/>
                <w:szCs w:val="20"/>
                <w:color w:val="auto"/>
              </w:rPr>
            </w:pPr>
            <w:r>
              <w:rPr>
                <w:rFonts w:ascii="Arial" w:cs="Arial" w:eastAsia="Arial" w:hAnsi="Arial"/>
                <w:sz w:val="14"/>
                <w:szCs w:val="14"/>
                <w:color w:val="auto"/>
              </w:rPr>
              <w:t>and processes, strategic planning, risk management and talent development.</w:t>
            </w:r>
          </w:p>
        </w:tc>
        <w:tc>
          <w:tcPr>
            <w:tcW w:w="1540" w:type="dxa"/>
            <w:vAlign w:val="bottom"/>
            <w:shd w:val="clear" w:color="auto" w:fill="F1F2F2"/>
          </w:tcPr>
          <w:p>
            <w:pPr>
              <w:ind w:left="20"/>
              <w:spacing w:after="0"/>
              <w:rPr>
                <w:sz w:val="20"/>
                <w:szCs w:val="20"/>
                <w:color w:val="auto"/>
              </w:rPr>
            </w:pPr>
            <w:r>
              <w:rPr>
                <w:rFonts w:ascii="Arial" w:cs="Arial" w:eastAsia="Arial" w:hAnsi="Arial"/>
                <w:sz w:val="14"/>
                <w:szCs w:val="14"/>
                <w:b w:val="1"/>
                <w:bCs w:val="1"/>
                <w:color w:val="auto"/>
              </w:rPr>
              <w:t>Yongsoo Kim</w:t>
            </w:r>
          </w:p>
        </w:tc>
        <w:tc>
          <w:tcPr>
            <w:tcW w:w="2060" w:type="dxa"/>
            <w:vAlign w:val="bottom"/>
            <w:shd w:val="clear" w:color="auto" w:fill="F1F2F2"/>
          </w:tcPr>
          <w:p>
            <w:pPr>
              <w:spacing w:after="0"/>
              <w:rPr>
                <w:sz w:val="18"/>
                <w:szCs w:val="18"/>
                <w:color w:val="auto"/>
              </w:rPr>
            </w:pPr>
          </w:p>
        </w:tc>
      </w:tr>
      <w:tr>
        <w:trPr>
          <w:trHeight w:val="305"/>
        </w:trPr>
        <w:tc>
          <w:tcPr>
            <w:tcW w:w="7640" w:type="dxa"/>
            <w:vAlign w:val="bottom"/>
            <w:shd w:val="clear" w:color="auto" w:fill="F1F2F2"/>
          </w:tcPr>
          <w:p>
            <w:pPr>
              <w:spacing w:after="0"/>
              <w:rPr>
                <w:sz w:val="24"/>
                <w:szCs w:val="24"/>
                <w:color w:val="auto"/>
              </w:rPr>
            </w:pPr>
          </w:p>
        </w:tc>
        <w:tc>
          <w:tcPr>
            <w:tcW w:w="1540" w:type="dxa"/>
            <w:vAlign w:val="bottom"/>
            <w:shd w:val="clear" w:color="auto" w:fill="F1F2F2"/>
          </w:tcPr>
          <w:p>
            <w:pPr>
              <w:spacing w:after="0"/>
              <w:rPr>
                <w:sz w:val="24"/>
                <w:szCs w:val="24"/>
                <w:color w:val="auto"/>
              </w:rPr>
            </w:pPr>
          </w:p>
        </w:tc>
        <w:tc>
          <w:tcPr>
            <w:tcW w:w="2060" w:type="dxa"/>
            <w:vAlign w:val="bottom"/>
            <w:shd w:val="clear" w:color="auto" w:fill="F1F2F2"/>
          </w:tcPr>
          <w:p>
            <w:pPr>
              <w:spacing w:after="0"/>
              <w:rPr>
                <w:sz w:val="24"/>
                <w:szCs w:val="24"/>
                <w:color w:val="auto"/>
              </w:rPr>
            </w:pPr>
          </w:p>
        </w:tc>
      </w:tr>
    </w:tbl>
    <w:p>
      <w:pPr>
        <w:spacing w:after="0" w:line="126" w:lineRule="exact"/>
        <w:rPr>
          <w:sz w:val="20"/>
          <w:szCs w:val="20"/>
          <w:color w:val="auto"/>
        </w:rPr>
      </w:pPr>
    </w:p>
    <w:p>
      <w:pPr>
        <w:sectPr>
          <w:pgSz w:w="11900" w:h="16838" w:orient="portrait"/>
          <w:cols w:equalWidth="0" w:num="1">
            <w:col w:w="11240"/>
          </w:cols>
          <w:pgMar w:left="320" w:top="130" w:right="339" w:bottom="1440" w:gutter="0" w:footer="0" w:header="0"/>
        </w:sectPr>
      </w:pPr>
    </w:p>
    <w:p>
      <w:pPr>
        <w:spacing w:after="0" w:line="8"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00DC64"/>
        </w:rPr>
        <w:t>STRATEGY</w:t>
      </w:r>
    </w:p>
    <w:p>
      <w:pPr>
        <w:spacing w:after="0" w:line="347" w:lineRule="exact"/>
        <w:rPr>
          <w:sz w:val="20"/>
          <w:szCs w:val="20"/>
          <w:color w:val="auto"/>
        </w:rPr>
      </w:pPr>
    </w:p>
    <w:p>
      <w:pPr>
        <w:ind w:left="140"/>
        <w:spacing w:after="0" w:line="305" w:lineRule="auto"/>
        <w:rPr>
          <w:sz w:val="20"/>
          <w:szCs w:val="20"/>
          <w:color w:val="auto"/>
        </w:rPr>
      </w:pPr>
      <w:r>
        <w:rPr>
          <w:rFonts w:ascii="Arial" w:cs="Arial" w:eastAsia="Arial" w:hAnsi="Arial"/>
          <w:sz w:val="14"/>
          <w:szCs w:val="14"/>
          <w:color w:val="auto"/>
        </w:rPr>
        <w:t>Experience advising and overseeing strategic development and direction, resulting in a practical ability to identify and develop opportunities for long-term value creation.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7470" cy="7372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470" cy="7372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1900" w:val="left"/>
        </w:tabs>
        <w:rPr>
          <w:sz w:val="20"/>
          <w:szCs w:val="20"/>
          <w:color w:val="auto"/>
        </w:rPr>
      </w:pPr>
      <w:r>
        <w:rPr>
          <w:rFonts w:ascii="Arial" w:cs="Arial" w:eastAsia="Arial" w:hAnsi="Arial"/>
          <w:sz w:val="14"/>
          <w:szCs w:val="14"/>
          <w:b w:val="1"/>
          <w:bCs w:val="1"/>
          <w:color w:val="auto"/>
        </w:rPr>
        <w:t>Junkoo Kim</w:t>
      </w:r>
      <w:r>
        <w:rPr>
          <w:sz w:val="20"/>
          <w:szCs w:val="20"/>
          <w:color w:val="auto"/>
        </w:rPr>
        <w:tab/>
      </w:r>
      <w:r>
        <w:rPr>
          <w:rFonts w:ascii="Arial" w:cs="Arial" w:eastAsia="Arial" w:hAnsi="Arial"/>
          <w:sz w:val="14"/>
          <w:szCs w:val="14"/>
          <w:b w:val="1"/>
          <w:bCs w:val="1"/>
          <w:color w:val="auto"/>
        </w:rPr>
        <w:t>David J. Lee</w:t>
      </w:r>
    </w:p>
    <w:p>
      <w:pPr>
        <w:spacing w:after="0" w:line="29" w:lineRule="exact"/>
        <w:rPr>
          <w:sz w:val="20"/>
          <w:szCs w:val="20"/>
          <w:color w:val="auto"/>
        </w:rPr>
      </w:pPr>
    </w:p>
    <w:p>
      <w:pPr>
        <w:spacing w:after="0"/>
        <w:tabs>
          <w:tab w:leader="none" w:pos="1900" w:val="left"/>
        </w:tabs>
        <w:rPr>
          <w:sz w:val="20"/>
          <w:szCs w:val="20"/>
          <w:color w:val="auto"/>
        </w:rPr>
      </w:pPr>
      <w:r>
        <w:rPr>
          <w:rFonts w:ascii="Arial" w:cs="Arial" w:eastAsia="Arial" w:hAnsi="Arial"/>
          <w:sz w:val="14"/>
          <w:szCs w:val="14"/>
          <w:b w:val="1"/>
          <w:bCs w:val="1"/>
          <w:color w:val="auto"/>
        </w:rPr>
        <w:t>Haejin Lee</w:t>
      </w:r>
      <w:r>
        <w:rPr>
          <w:sz w:val="20"/>
          <w:szCs w:val="20"/>
          <w:color w:val="auto"/>
        </w:rPr>
        <w:tab/>
      </w:r>
      <w:r>
        <w:rPr>
          <w:rFonts w:ascii="Arial" w:cs="Arial" w:eastAsia="Arial" w:hAnsi="Arial"/>
          <w:sz w:val="14"/>
          <w:szCs w:val="14"/>
          <w:b w:val="1"/>
          <w:bCs w:val="1"/>
          <w:color w:val="auto"/>
        </w:rPr>
        <w:t>Namsun Kim</w:t>
      </w:r>
    </w:p>
    <w:p>
      <w:pPr>
        <w:spacing w:after="0" w:line="15" w:lineRule="exact"/>
        <w:rPr>
          <w:sz w:val="20"/>
          <w:szCs w:val="20"/>
          <w:color w:val="auto"/>
        </w:rPr>
      </w:pPr>
    </w:p>
    <w:p>
      <w:pPr>
        <w:spacing w:after="0"/>
        <w:tabs>
          <w:tab w:leader="none" w:pos="1900" w:val="left"/>
        </w:tabs>
        <w:rPr>
          <w:sz w:val="20"/>
          <w:szCs w:val="20"/>
          <w:color w:val="auto"/>
        </w:rPr>
      </w:pPr>
      <w:r>
        <w:rPr>
          <w:rFonts w:ascii="Arial" w:cs="Arial" w:eastAsia="Arial" w:hAnsi="Arial"/>
          <w:sz w:val="14"/>
          <w:szCs w:val="14"/>
          <w:b w:val="1"/>
          <w:bCs w:val="1"/>
          <w:color w:val="auto"/>
        </w:rPr>
        <w:t>Jun Masuda</w:t>
      </w:r>
      <w:r>
        <w:rPr>
          <w:sz w:val="20"/>
          <w:szCs w:val="20"/>
          <w:color w:val="auto"/>
        </w:rPr>
        <w:tab/>
      </w:r>
      <w:r>
        <w:rPr>
          <w:rFonts w:ascii="Arial" w:cs="Arial" w:eastAsia="Arial" w:hAnsi="Arial"/>
          <w:sz w:val="14"/>
          <w:szCs w:val="14"/>
          <w:b w:val="1"/>
          <w:bCs w:val="1"/>
          <w:color w:val="auto"/>
        </w:rPr>
        <w:t>Isabelle Winkles</w:t>
      </w:r>
    </w:p>
    <w:p>
      <w:pPr>
        <w:spacing w:after="0" w:line="1" w:lineRule="exact"/>
        <w:rPr>
          <w:sz w:val="20"/>
          <w:szCs w:val="20"/>
          <w:color w:val="auto"/>
        </w:rPr>
      </w:pPr>
    </w:p>
    <w:p>
      <w:pPr>
        <w:spacing w:after="0"/>
        <w:tabs>
          <w:tab w:leader="none" w:pos="1900" w:val="left"/>
        </w:tabs>
        <w:rPr>
          <w:sz w:val="20"/>
          <w:szCs w:val="20"/>
          <w:color w:val="auto"/>
        </w:rPr>
      </w:pPr>
      <w:r>
        <w:rPr>
          <w:rFonts w:ascii="Arial" w:cs="Arial" w:eastAsia="Arial" w:hAnsi="Arial"/>
          <w:sz w:val="14"/>
          <w:szCs w:val="14"/>
          <w:b w:val="1"/>
          <w:bCs w:val="1"/>
          <w:color w:val="auto"/>
        </w:rPr>
        <w:t>Nancy Dubuc</w:t>
      </w:r>
      <w:r>
        <w:rPr>
          <w:sz w:val="20"/>
          <w:szCs w:val="20"/>
          <w:color w:val="auto"/>
        </w:rPr>
        <w:tab/>
      </w:r>
      <w:r>
        <w:rPr>
          <w:rFonts w:ascii="Arial" w:cs="Arial" w:eastAsia="Arial" w:hAnsi="Arial"/>
          <w:sz w:val="14"/>
          <w:szCs w:val="14"/>
          <w:b w:val="1"/>
          <w:bCs w:val="1"/>
          <w:color w:val="auto"/>
        </w:rPr>
        <w:t>Saeju Jeong</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Yongsoo Kim</w:t>
      </w:r>
    </w:p>
    <w:p>
      <w:pPr>
        <w:spacing w:after="0" w:line="285" w:lineRule="exact"/>
        <w:rPr>
          <w:sz w:val="20"/>
          <w:szCs w:val="20"/>
          <w:color w:val="auto"/>
        </w:rPr>
      </w:pPr>
    </w:p>
    <w:p>
      <w:pPr>
        <w:sectPr>
          <w:pgSz w:w="11900" w:h="16838" w:orient="portrait"/>
          <w:cols w:equalWidth="0" w:num="2">
            <w:col w:w="7300" w:space="360"/>
            <w:col w:w="3580"/>
          </w:cols>
          <w:pgMar w:left="320" w:top="130" w:right="339" w:bottom="1440" w:gutter="0" w:footer="0" w:header="0"/>
          <w:type w:val="continuous"/>
        </w:sectPr>
      </w:pP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120" w:type="dxa"/>
            <w:vAlign w:val="bottom"/>
            <w:shd w:val="clear" w:color="auto" w:fill="F1F2F2"/>
          </w:tcPr>
          <w:p>
            <w:pPr>
              <w:spacing w:after="0"/>
              <w:rPr>
                <w:sz w:val="9"/>
                <w:szCs w:val="9"/>
                <w:color w:val="auto"/>
              </w:rPr>
            </w:pPr>
          </w:p>
        </w:tc>
        <w:tc>
          <w:tcPr>
            <w:tcW w:w="7260" w:type="dxa"/>
            <w:vAlign w:val="bottom"/>
            <w:shd w:val="clear" w:color="auto" w:fill="F1F2F2"/>
          </w:tcPr>
          <w:p>
            <w:pPr>
              <w:spacing w:after="0"/>
              <w:rPr>
                <w:sz w:val="9"/>
                <w:szCs w:val="9"/>
                <w:color w:val="auto"/>
              </w:rPr>
            </w:pPr>
          </w:p>
        </w:tc>
        <w:tc>
          <w:tcPr>
            <w:tcW w:w="260" w:type="dxa"/>
            <w:vAlign w:val="bottom"/>
            <w:shd w:val="clear" w:color="auto" w:fill="F1F2F2"/>
          </w:tcPr>
          <w:p>
            <w:pPr>
              <w:spacing w:after="0"/>
              <w:rPr>
                <w:sz w:val="9"/>
                <w:szCs w:val="9"/>
                <w:color w:val="auto"/>
              </w:rPr>
            </w:pPr>
          </w:p>
        </w:tc>
        <w:tc>
          <w:tcPr>
            <w:tcW w:w="1540" w:type="dxa"/>
            <w:vAlign w:val="bottom"/>
            <w:shd w:val="clear" w:color="auto" w:fill="F1F2F2"/>
          </w:tcPr>
          <w:p>
            <w:pPr>
              <w:spacing w:after="0"/>
              <w:rPr>
                <w:sz w:val="9"/>
                <w:szCs w:val="9"/>
                <w:color w:val="auto"/>
              </w:rPr>
            </w:pPr>
          </w:p>
        </w:tc>
        <w:tc>
          <w:tcPr>
            <w:tcW w:w="2060" w:type="dxa"/>
            <w:vAlign w:val="bottom"/>
            <w:shd w:val="clear" w:color="auto" w:fill="F1F2F2"/>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120" w:type="dxa"/>
            <w:vAlign w:val="bottom"/>
          </w:tcPr>
          <w:p>
            <w:pPr>
              <w:spacing w:after="0"/>
              <w:rPr>
                <w:sz w:val="16"/>
                <w:szCs w:val="16"/>
                <w:color w:val="auto"/>
              </w:rPr>
            </w:pPr>
          </w:p>
        </w:tc>
        <w:tc>
          <w:tcPr>
            <w:tcW w:w="7520" w:type="dxa"/>
            <w:vAlign w:val="bottom"/>
            <w:gridSpan w:val="2"/>
            <w:shd w:val="clear" w:color="auto" w:fill="F1F2F2"/>
          </w:tcPr>
          <w:p>
            <w:pPr>
              <w:ind w:left="20"/>
              <w:spacing w:after="0"/>
              <w:rPr>
                <w:sz w:val="20"/>
                <w:szCs w:val="20"/>
                <w:color w:val="auto"/>
              </w:rPr>
            </w:pPr>
            <w:r>
              <w:rPr>
                <w:rFonts w:ascii="Arial" w:cs="Arial" w:eastAsia="Arial" w:hAnsi="Arial"/>
                <w:sz w:val="16"/>
                <w:szCs w:val="16"/>
                <w:b w:val="1"/>
                <w:bCs w:val="1"/>
                <w:color w:val="00DC64"/>
              </w:rPr>
              <w:t>FINANCE &amp; ACCOUNTING</w:t>
            </w:r>
          </w:p>
        </w:tc>
        <w:tc>
          <w:tcPr>
            <w:tcW w:w="1540" w:type="dxa"/>
            <w:vAlign w:val="bottom"/>
          </w:tcPr>
          <w:p>
            <w:pPr>
              <w:ind w:left="20"/>
              <w:spacing w:after="0"/>
              <w:rPr>
                <w:sz w:val="20"/>
                <w:szCs w:val="20"/>
                <w:color w:val="auto"/>
              </w:rPr>
            </w:pPr>
            <w:r>
              <w:rPr>
                <w:rFonts w:ascii="Arial" w:cs="Arial" w:eastAsia="Arial" w:hAnsi="Arial"/>
                <w:sz w:val="14"/>
                <w:szCs w:val="14"/>
                <w:b w:val="1"/>
                <w:bCs w:val="1"/>
                <w:color w:val="auto"/>
              </w:rPr>
              <w:t>David J. Lee</w:t>
            </w:r>
          </w:p>
        </w:tc>
        <w:tc>
          <w:tcPr>
            <w:tcW w:w="2060" w:type="dxa"/>
            <w:vAlign w:val="bottom"/>
          </w:tcPr>
          <w:p>
            <w:pPr>
              <w:ind w:left="400"/>
              <w:spacing w:after="0"/>
              <w:rPr>
                <w:sz w:val="20"/>
                <w:szCs w:val="20"/>
                <w:color w:val="auto"/>
              </w:rPr>
            </w:pPr>
            <w:r>
              <w:rPr>
                <w:rFonts w:ascii="Arial" w:cs="Arial" w:eastAsia="Arial" w:hAnsi="Arial"/>
                <w:sz w:val="14"/>
                <w:szCs w:val="14"/>
                <w:b w:val="1"/>
                <w:bCs w:val="1"/>
                <w:color w:val="auto"/>
              </w:rPr>
              <w:t>Namsun Kim</w:t>
            </w:r>
          </w:p>
        </w:tc>
        <w:tc>
          <w:tcPr>
            <w:tcW w:w="0" w:type="dxa"/>
            <w:vAlign w:val="bottom"/>
          </w:tcPr>
          <w:p>
            <w:pPr>
              <w:spacing w:after="0"/>
              <w:rPr>
                <w:sz w:val="1"/>
                <w:szCs w:val="1"/>
                <w:color w:val="auto"/>
              </w:rPr>
            </w:pPr>
          </w:p>
        </w:tc>
      </w:tr>
      <w:tr>
        <w:trPr>
          <w:trHeight w:val="175"/>
        </w:trPr>
        <w:tc>
          <w:tcPr>
            <w:tcW w:w="120" w:type="dxa"/>
            <w:vAlign w:val="bottom"/>
          </w:tcPr>
          <w:p>
            <w:pPr>
              <w:spacing w:after="0"/>
              <w:rPr>
                <w:sz w:val="15"/>
                <w:szCs w:val="15"/>
                <w:color w:val="auto"/>
              </w:rPr>
            </w:pPr>
          </w:p>
        </w:tc>
        <w:tc>
          <w:tcPr>
            <w:tcW w:w="7260" w:type="dxa"/>
            <w:vAlign w:val="bottom"/>
            <w:shd w:val="clear" w:color="auto" w:fill="F1F2F2"/>
          </w:tcPr>
          <w:p>
            <w:pPr>
              <w:spacing w:after="0"/>
              <w:rPr>
                <w:sz w:val="15"/>
                <w:szCs w:val="15"/>
                <w:color w:val="auto"/>
              </w:rPr>
            </w:pPr>
          </w:p>
        </w:tc>
        <w:tc>
          <w:tcPr>
            <w:tcW w:w="260" w:type="dxa"/>
            <w:vAlign w:val="bottom"/>
            <w:shd w:val="clear" w:color="auto" w:fill="F1F2F2"/>
          </w:tcPr>
          <w:p>
            <w:pPr>
              <w:spacing w:after="0"/>
              <w:rPr>
                <w:sz w:val="15"/>
                <w:szCs w:val="15"/>
                <w:color w:val="auto"/>
              </w:rPr>
            </w:pPr>
          </w:p>
        </w:tc>
        <w:tc>
          <w:tcPr>
            <w:tcW w:w="1540" w:type="dxa"/>
            <w:vAlign w:val="bottom"/>
          </w:tcPr>
          <w:p>
            <w:pPr>
              <w:ind w:left="20"/>
              <w:spacing w:after="0"/>
              <w:rPr>
                <w:sz w:val="20"/>
                <w:szCs w:val="20"/>
                <w:color w:val="auto"/>
              </w:rPr>
            </w:pPr>
            <w:r>
              <w:rPr>
                <w:rFonts w:ascii="Arial" w:cs="Arial" w:eastAsia="Arial" w:hAnsi="Arial"/>
                <w:sz w:val="14"/>
                <w:szCs w:val="14"/>
                <w:b w:val="1"/>
                <w:bCs w:val="1"/>
                <w:color w:val="auto"/>
              </w:rPr>
              <w:t>Isabelle Winkles</w:t>
            </w:r>
          </w:p>
        </w:tc>
        <w:tc>
          <w:tcPr>
            <w:tcW w:w="2060" w:type="dxa"/>
            <w:vAlign w:val="bottom"/>
          </w:tcPr>
          <w:p>
            <w:pPr>
              <w:ind w:left="400"/>
              <w:spacing w:after="0"/>
              <w:rPr>
                <w:sz w:val="20"/>
                <w:szCs w:val="20"/>
                <w:color w:val="auto"/>
              </w:rPr>
            </w:pPr>
            <w:r>
              <w:rPr>
                <w:rFonts w:ascii="Arial" w:cs="Arial" w:eastAsia="Arial" w:hAnsi="Arial"/>
                <w:sz w:val="14"/>
                <w:szCs w:val="14"/>
                <w:b w:val="1"/>
                <w:bCs w:val="1"/>
                <w:color w:val="auto"/>
              </w:rPr>
              <w:t>Nancy Dubuc</w:t>
            </w:r>
          </w:p>
        </w:tc>
        <w:tc>
          <w:tcPr>
            <w:tcW w:w="0" w:type="dxa"/>
            <w:vAlign w:val="bottom"/>
          </w:tcPr>
          <w:p>
            <w:pPr>
              <w:spacing w:after="0"/>
              <w:rPr>
                <w:sz w:val="1"/>
                <w:szCs w:val="1"/>
                <w:color w:val="auto"/>
              </w:rPr>
            </w:pPr>
          </w:p>
        </w:tc>
      </w:tr>
      <w:tr>
        <w:trPr>
          <w:trHeight w:val="77"/>
        </w:trPr>
        <w:tc>
          <w:tcPr>
            <w:tcW w:w="120" w:type="dxa"/>
            <w:vAlign w:val="bottom"/>
          </w:tcPr>
          <w:p>
            <w:pPr>
              <w:spacing w:after="0"/>
              <w:rPr>
                <w:sz w:val="6"/>
                <w:szCs w:val="6"/>
                <w:color w:val="auto"/>
              </w:rPr>
            </w:pPr>
          </w:p>
        </w:tc>
        <w:tc>
          <w:tcPr>
            <w:tcW w:w="7260" w:type="dxa"/>
            <w:vAlign w:val="bottom"/>
            <w:shd w:val="clear" w:color="auto" w:fill="F1F2F2"/>
          </w:tcPr>
          <w:p>
            <w:pPr>
              <w:spacing w:after="0"/>
              <w:rPr>
                <w:sz w:val="6"/>
                <w:szCs w:val="6"/>
                <w:color w:val="auto"/>
              </w:rPr>
            </w:pPr>
          </w:p>
        </w:tc>
        <w:tc>
          <w:tcPr>
            <w:tcW w:w="260" w:type="dxa"/>
            <w:vAlign w:val="bottom"/>
            <w:shd w:val="clear" w:color="auto" w:fill="F1F2F2"/>
          </w:tcPr>
          <w:p>
            <w:pPr>
              <w:spacing w:after="0"/>
              <w:rPr>
                <w:sz w:val="6"/>
                <w:szCs w:val="6"/>
                <w:color w:val="auto"/>
              </w:rPr>
            </w:pPr>
          </w:p>
        </w:tc>
        <w:tc>
          <w:tcPr>
            <w:tcW w:w="15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Saeju Jeong</w:t>
            </w:r>
          </w:p>
        </w:tc>
        <w:tc>
          <w:tcPr>
            <w:tcW w:w="206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Yongsoo Kim</w:t>
            </w:r>
          </w:p>
        </w:tc>
        <w:tc>
          <w:tcPr>
            <w:tcW w:w="0" w:type="dxa"/>
            <w:vAlign w:val="bottom"/>
          </w:tcPr>
          <w:p>
            <w:pPr>
              <w:spacing w:after="0"/>
              <w:rPr>
                <w:sz w:val="1"/>
                <w:szCs w:val="1"/>
                <w:color w:val="auto"/>
              </w:rPr>
            </w:pPr>
          </w:p>
        </w:tc>
      </w:tr>
      <w:tr>
        <w:trPr>
          <w:trHeight w:val="94"/>
        </w:trPr>
        <w:tc>
          <w:tcPr>
            <w:tcW w:w="120" w:type="dxa"/>
            <w:vAlign w:val="bottom"/>
          </w:tcPr>
          <w:p>
            <w:pPr>
              <w:spacing w:after="0"/>
              <w:rPr>
                <w:sz w:val="8"/>
                <w:szCs w:val="8"/>
                <w:color w:val="auto"/>
              </w:rPr>
            </w:pPr>
          </w:p>
        </w:tc>
        <w:tc>
          <w:tcPr>
            <w:tcW w:w="7260" w:type="dxa"/>
            <w:vAlign w:val="bottom"/>
          </w:tcPr>
          <w:p>
            <w:pPr>
              <w:spacing w:after="0"/>
              <w:rPr>
                <w:sz w:val="8"/>
                <w:szCs w:val="8"/>
                <w:color w:val="auto"/>
              </w:rPr>
            </w:pPr>
          </w:p>
        </w:tc>
        <w:tc>
          <w:tcPr>
            <w:tcW w:w="260" w:type="dxa"/>
            <w:vAlign w:val="bottom"/>
            <w:shd w:val="clear" w:color="auto" w:fill="F1F2F2"/>
          </w:tcPr>
          <w:p>
            <w:pPr>
              <w:spacing w:after="0"/>
              <w:rPr>
                <w:sz w:val="8"/>
                <w:szCs w:val="8"/>
                <w:color w:val="auto"/>
              </w:rPr>
            </w:pPr>
          </w:p>
        </w:tc>
        <w:tc>
          <w:tcPr>
            <w:tcW w:w="1540" w:type="dxa"/>
            <w:vAlign w:val="bottom"/>
            <w:vMerge w:val="continue"/>
          </w:tcPr>
          <w:p>
            <w:pPr>
              <w:spacing w:after="0"/>
              <w:rPr>
                <w:sz w:val="8"/>
                <w:szCs w:val="8"/>
                <w:color w:val="auto"/>
              </w:rPr>
            </w:pPr>
          </w:p>
        </w:tc>
        <w:tc>
          <w:tcPr>
            <w:tcW w:w="2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-342265</wp:posOffset>
            </wp:positionV>
            <wp:extent cx="7054850" cy="6686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54850" cy="668655"/>
                    </a:xfrm>
                    <a:prstGeom prst="rect">
                      <a:avLst/>
                    </a:prstGeom>
                    <a:noFill/>
                  </pic:spPr>
                </pic:pic>
              </a:graphicData>
            </a:graphic>
          </wp:anchor>
        </w:drawing>
      </w:r>
    </w:p>
    <w:p>
      <w:pPr>
        <w:ind w:left="140" w:right="4000"/>
        <w:spacing w:after="0" w:line="305" w:lineRule="auto"/>
        <w:rPr>
          <w:sz w:val="20"/>
          <w:szCs w:val="20"/>
          <w:color w:val="auto"/>
        </w:rPr>
      </w:pPr>
      <w:r>
        <w:rPr>
          <w:rFonts w:ascii="Arial" w:cs="Arial" w:eastAsia="Arial" w:hAnsi="Arial"/>
          <w:sz w:val="14"/>
          <w:szCs w:val="14"/>
          <w:color w:val="auto"/>
        </w:rPr>
        <w:t>Significant experience in positions requiring financial knowledge and analysis, including as chief financial officer and/or in accounting, corporate finance or treasury functions.</w:t>
      </w:r>
    </w:p>
    <w:p>
      <w:pPr>
        <w:sectPr>
          <w:pgSz w:w="11900" w:h="16838" w:orient="portrait"/>
          <w:cols w:equalWidth="0" w:num="1">
            <w:col w:w="11240"/>
          </w:cols>
          <w:pgMar w:left="320" w:top="130" w:right="339" w:bottom="1440" w:gutter="0" w:footer="0" w:header="0"/>
          <w:type w:val="continuous"/>
        </w:sectPr>
      </w:pPr>
    </w:p>
    <w:p>
      <w:pPr>
        <w:spacing w:after="0" w:line="220"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00DC64"/>
        </w:rPr>
        <w:t>INTERNATIONAL BUSINESS</w:t>
      </w:r>
    </w:p>
    <w:p>
      <w:pPr>
        <w:spacing w:after="0" w:line="347" w:lineRule="exact"/>
        <w:rPr>
          <w:sz w:val="20"/>
          <w:szCs w:val="20"/>
          <w:color w:val="auto"/>
        </w:rPr>
      </w:pPr>
    </w:p>
    <w:p>
      <w:pPr>
        <w:ind w:left="140"/>
        <w:spacing w:after="0" w:line="283" w:lineRule="auto"/>
        <w:rPr>
          <w:sz w:val="20"/>
          <w:szCs w:val="20"/>
          <w:color w:val="auto"/>
        </w:rPr>
      </w:pPr>
      <w:r>
        <w:rPr>
          <w:rFonts w:ascii="Arial" w:cs="Arial" w:eastAsia="Arial" w:hAnsi="Arial"/>
          <w:sz w:val="14"/>
          <w:szCs w:val="14"/>
          <w:color w:val="auto"/>
        </w:rPr>
        <w:t>Leadership position in an organization that operates internationally on a broad basis and/or in certain geographic regions in which the Company operates, leading to a practical understanding of global business cultures and consumer preferences.</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tabs>
          <w:tab w:leader="none" w:pos="1900" w:val="left"/>
        </w:tabs>
        <w:rPr>
          <w:sz w:val="20"/>
          <w:szCs w:val="20"/>
          <w:color w:val="auto"/>
        </w:rPr>
      </w:pPr>
      <w:r>
        <w:rPr>
          <w:rFonts w:ascii="Arial" w:cs="Arial" w:eastAsia="Arial" w:hAnsi="Arial"/>
          <w:sz w:val="14"/>
          <w:szCs w:val="14"/>
          <w:b w:val="1"/>
          <w:bCs w:val="1"/>
          <w:color w:val="auto"/>
        </w:rPr>
        <w:t>Junkoo Kim</w:t>
      </w:r>
      <w:r>
        <w:rPr>
          <w:sz w:val="20"/>
          <w:szCs w:val="20"/>
          <w:color w:val="auto"/>
        </w:rPr>
        <w:tab/>
      </w:r>
      <w:r>
        <w:rPr>
          <w:rFonts w:ascii="Arial" w:cs="Arial" w:eastAsia="Arial" w:hAnsi="Arial"/>
          <w:sz w:val="14"/>
          <w:szCs w:val="14"/>
          <w:b w:val="1"/>
          <w:bCs w:val="1"/>
          <w:color w:val="auto"/>
        </w:rPr>
        <w:t>David J. Lee</w:t>
      </w:r>
    </w:p>
    <w:p>
      <w:pPr>
        <w:spacing w:after="0" w:line="29" w:lineRule="exact"/>
        <w:rPr>
          <w:sz w:val="20"/>
          <w:szCs w:val="20"/>
          <w:color w:val="auto"/>
        </w:rPr>
      </w:pPr>
    </w:p>
    <w:p>
      <w:pPr>
        <w:spacing w:after="0"/>
        <w:tabs>
          <w:tab w:leader="none" w:pos="1900" w:val="left"/>
        </w:tabs>
        <w:rPr>
          <w:sz w:val="20"/>
          <w:szCs w:val="20"/>
          <w:color w:val="auto"/>
        </w:rPr>
      </w:pPr>
      <w:r>
        <w:rPr>
          <w:rFonts w:ascii="Arial" w:cs="Arial" w:eastAsia="Arial" w:hAnsi="Arial"/>
          <w:sz w:val="14"/>
          <w:szCs w:val="14"/>
          <w:b w:val="1"/>
          <w:bCs w:val="1"/>
          <w:color w:val="auto"/>
        </w:rPr>
        <w:t>Haejin Lee</w:t>
      </w:r>
      <w:r>
        <w:rPr>
          <w:sz w:val="20"/>
          <w:szCs w:val="20"/>
          <w:color w:val="auto"/>
        </w:rPr>
        <w:tab/>
      </w:r>
      <w:r>
        <w:rPr>
          <w:rFonts w:ascii="Arial" w:cs="Arial" w:eastAsia="Arial" w:hAnsi="Arial"/>
          <w:sz w:val="14"/>
          <w:szCs w:val="14"/>
          <w:b w:val="1"/>
          <w:bCs w:val="1"/>
          <w:color w:val="auto"/>
        </w:rPr>
        <w:t>Namsun Kim</w:t>
      </w:r>
    </w:p>
    <w:p>
      <w:pPr>
        <w:spacing w:after="0" w:line="15" w:lineRule="exact"/>
        <w:rPr>
          <w:sz w:val="20"/>
          <w:szCs w:val="20"/>
          <w:color w:val="auto"/>
        </w:rPr>
      </w:pPr>
    </w:p>
    <w:p>
      <w:pPr>
        <w:spacing w:after="0"/>
        <w:tabs>
          <w:tab w:leader="none" w:pos="1900" w:val="left"/>
        </w:tabs>
        <w:rPr>
          <w:sz w:val="20"/>
          <w:szCs w:val="20"/>
          <w:color w:val="auto"/>
        </w:rPr>
      </w:pPr>
      <w:r>
        <w:rPr>
          <w:rFonts w:ascii="Arial" w:cs="Arial" w:eastAsia="Arial" w:hAnsi="Arial"/>
          <w:sz w:val="14"/>
          <w:szCs w:val="14"/>
          <w:b w:val="1"/>
          <w:bCs w:val="1"/>
          <w:color w:val="auto"/>
        </w:rPr>
        <w:t>Jun Masuda</w:t>
      </w:r>
      <w:r>
        <w:rPr>
          <w:sz w:val="20"/>
          <w:szCs w:val="20"/>
          <w:color w:val="auto"/>
        </w:rPr>
        <w:tab/>
      </w:r>
      <w:r>
        <w:rPr>
          <w:rFonts w:ascii="Arial" w:cs="Arial" w:eastAsia="Arial" w:hAnsi="Arial"/>
          <w:sz w:val="14"/>
          <w:szCs w:val="14"/>
          <w:b w:val="1"/>
          <w:bCs w:val="1"/>
          <w:color w:val="auto"/>
        </w:rPr>
        <w:t>Isabelle Winkles</w:t>
      </w:r>
    </w:p>
    <w:p>
      <w:pPr>
        <w:spacing w:after="0" w:line="1" w:lineRule="exact"/>
        <w:rPr>
          <w:sz w:val="20"/>
          <w:szCs w:val="20"/>
          <w:color w:val="auto"/>
        </w:rPr>
      </w:pPr>
    </w:p>
    <w:p>
      <w:pPr>
        <w:spacing w:after="0"/>
        <w:tabs>
          <w:tab w:leader="none" w:pos="1900" w:val="left"/>
        </w:tabs>
        <w:rPr>
          <w:sz w:val="20"/>
          <w:szCs w:val="20"/>
          <w:color w:val="auto"/>
        </w:rPr>
      </w:pPr>
      <w:r>
        <w:rPr>
          <w:rFonts w:ascii="Arial" w:cs="Arial" w:eastAsia="Arial" w:hAnsi="Arial"/>
          <w:sz w:val="14"/>
          <w:szCs w:val="14"/>
          <w:b w:val="1"/>
          <w:bCs w:val="1"/>
          <w:color w:val="auto"/>
        </w:rPr>
        <w:t>Nancy Dubuc</w:t>
      </w:r>
      <w:r>
        <w:rPr>
          <w:sz w:val="20"/>
          <w:szCs w:val="20"/>
          <w:color w:val="auto"/>
        </w:rPr>
        <w:tab/>
      </w:r>
      <w:r>
        <w:rPr>
          <w:rFonts w:ascii="Arial" w:cs="Arial" w:eastAsia="Arial" w:hAnsi="Arial"/>
          <w:sz w:val="14"/>
          <w:szCs w:val="14"/>
          <w:b w:val="1"/>
          <w:bCs w:val="1"/>
          <w:color w:val="auto"/>
        </w:rPr>
        <w:t>Saeju Jeong</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Yongsoo Kim</w:t>
      </w:r>
    </w:p>
    <w:p>
      <w:pPr>
        <w:spacing w:after="0" w:line="347" w:lineRule="exact"/>
        <w:rPr>
          <w:sz w:val="20"/>
          <w:szCs w:val="20"/>
          <w:color w:val="auto"/>
        </w:rPr>
      </w:pPr>
    </w:p>
    <w:p>
      <w:pPr>
        <w:sectPr>
          <w:pgSz w:w="11900" w:h="16838" w:orient="portrait"/>
          <w:cols w:equalWidth="0" w:num="2">
            <w:col w:w="7300" w:space="360"/>
            <w:col w:w="3580"/>
          </w:cols>
          <w:pgMar w:left="320" w:top="130" w:right="339" w:bottom="1440" w:gutter="0" w:footer="0" w:header="0"/>
          <w:type w:val="continuous"/>
        </w:sectPr>
      </w:pPr>
    </w:p>
    <w:tbl>
      <w:tblPr>
        <w:tblLayout w:type="fixed"/>
        <w:tblInd w:w="0" w:type="dxa"/>
        <w:tblCellMar>
          <w:top w:w="0" w:type="dxa"/>
          <w:left w:w="0" w:type="dxa"/>
          <w:bottom w:w="0" w:type="dxa"/>
          <w:right w:w="0" w:type="dxa"/>
        </w:tblCellMar>
      </w:tblPr>
      <w:tr>
        <w:trPr>
          <w:trHeight w:val="301"/>
        </w:trPr>
        <w:tc>
          <w:tcPr>
            <w:tcW w:w="120" w:type="dxa"/>
            <w:vAlign w:val="bottom"/>
            <w:shd w:val="clear" w:color="auto" w:fill="F1F2F2"/>
          </w:tcPr>
          <w:p>
            <w:pPr>
              <w:spacing w:after="0"/>
              <w:rPr>
                <w:sz w:val="24"/>
                <w:szCs w:val="24"/>
                <w:color w:val="auto"/>
              </w:rPr>
            </w:pPr>
          </w:p>
        </w:tc>
        <w:tc>
          <w:tcPr>
            <w:tcW w:w="7260" w:type="dxa"/>
            <w:vAlign w:val="bottom"/>
            <w:shd w:val="clear" w:color="auto" w:fill="F1F2F2"/>
          </w:tcPr>
          <w:p>
            <w:pPr>
              <w:ind w:left="20"/>
              <w:spacing w:after="0"/>
              <w:rPr>
                <w:sz w:val="20"/>
                <w:szCs w:val="20"/>
                <w:color w:val="auto"/>
              </w:rPr>
            </w:pPr>
            <w:r>
              <w:rPr>
                <w:rFonts w:ascii="Arial" w:cs="Arial" w:eastAsia="Arial" w:hAnsi="Arial"/>
                <w:sz w:val="16"/>
                <w:szCs w:val="16"/>
                <w:b w:val="1"/>
                <w:bCs w:val="1"/>
                <w:color w:val="00DC64"/>
              </w:rPr>
              <w:t>CONTENT AND MEDIA INDUSTRY</w:t>
            </w:r>
          </w:p>
        </w:tc>
        <w:tc>
          <w:tcPr>
            <w:tcW w:w="260" w:type="dxa"/>
            <w:vAlign w:val="bottom"/>
            <w:shd w:val="clear" w:color="auto" w:fill="F1F2F2"/>
          </w:tcPr>
          <w:p>
            <w:pPr>
              <w:spacing w:after="0"/>
              <w:rPr>
                <w:sz w:val="24"/>
                <w:szCs w:val="24"/>
                <w:color w:val="auto"/>
              </w:rPr>
            </w:pPr>
          </w:p>
        </w:tc>
        <w:tc>
          <w:tcPr>
            <w:tcW w:w="1540" w:type="dxa"/>
            <w:vAlign w:val="bottom"/>
            <w:shd w:val="clear" w:color="auto" w:fill="F1F2F2"/>
          </w:tcPr>
          <w:p>
            <w:pPr>
              <w:ind w:left="20"/>
              <w:spacing w:after="0"/>
              <w:rPr>
                <w:sz w:val="20"/>
                <w:szCs w:val="20"/>
                <w:color w:val="auto"/>
              </w:rPr>
            </w:pPr>
            <w:r>
              <w:rPr>
                <w:rFonts w:ascii="Arial" w:cs="Arial" w:eastAsia="Arial" w:hAnsi="Arial"/>
                <w:sz w:val="14"/>
                <w:szCs w:val="14"/>
                <w:b w:val="1"/>
                <w:bCs w:val="1"/>
                <w:color w:val="auto"/>
              </w:rPr>
              <w:t>Junkoo Kim</w:t>
            </w:r>
          </w:p>
        </w:tc>
        <w:tc>
          <w:tcPr>
            <w:tcW w:w="2060" w:type="dxa"/>
            <w:vAlign w:val="bottom"/>
            <w:shd w:val="clear" w:color="auto" w:fill="F1F2F2"/>
          </w:tcPr>
          <w:p>
            <w:pPr>
              <w:ind w:left="400"/>
              <w:spacing w:after="0"/>
              <w:rPr>
                <w:sz w:val="20"/>
                <w:szCs w:val="20"/>
                <w:color w:val="auto"/>
              </w:rPr>
            </w:pPr>
            <w:r>
              <w:rPr>
                <w:rFonts w:ascii="Arial" w:cs="Arial" w:eastAsia="Arial" w:hAnsi="Arial"/>
                <w:sz w:val="14"/>
                <w:szCs w:val="14"/>
                <w:b w:val="1"/>
                <w:bCs w:val="1"/>
                <w:color w:val="auto"/>
              </w:rPr>
              <w:t>Haejin Lee</w:t>
            </w:r>
          </w:p>
        </w:tc>
        <w:tc>
          <w:tcPr>
            <w:tcW w:w="0" w:type="dxa"/>
            <w:vAlign w:val="bottom"/>
          </w:tcPr>
          <w:p>
            <w:pPr>
              <w:spacing w:after="0"/>
              <w:rPr>
                <w:sz w:val="1"/>
                <w:szCs w:val="1"/>
                <w:color w:val="auto"/>
              </w:rPr>
            </w:pPr>
          </w:p>
        </w:tc>
      </w:tr>
      <w:tr>
        <w:trPr>
          <w:trHeight w:val="175"/>
        </w:trPr>
        <w:tc>
          <w:tcPr>
            <w:tcW w:w="120" w:type="dxa"/>
            <w:vAlign w:val="bottom"/>
            <w:shd w:val="clear" w:color="auto" w:fill="F1F2F2"/>
          </w:tcPr>
          <w:p>
            <w:pPr>
              <w:spacing w:after="0"/>
              <w:rPr>
                <w:sz w:val="15"/>
                <w:szCs w:val="15"/>
                <w:color w:val="auto"/>
              </w:rPr>
            </w:pPr>
          </w:p>
        </w:tc>
        <w:tc>
          <w:tcPr>
            <w:tcW w:w="7260" w:type="dxa"/>
            <w:vAlign w:val="bottom"/>
            <w:shd w:val="clear" w:color="auto" w:fill="F1F2F2"/>
          </w:tcPr>
          <w:p>
            <w:pPr>
              <w:spacing w:after="0"/>
              <w:rPr>
                <w:sz w:val="15"/>
                <w:szCs w:val="15"/>
                <w:color w:val="auto"/>
              </w:rPr>
            </w:pPr>
          </w:p>
        </w:tc>
        <w:tc>
          <w:tcPr>
            <w:tcW w:w="260" w:type="dxa"/>
            <w:vAlign w:val="bottom"/>
            <w:shd w:val="clear" w:color="auto" w:fill="F1F2F2"/>
          </w:tcPr>
          <w:p>
            <w:pPr>
              <w:spacing w:after="0"/>
              <w:rPr>
                <w:sz w:val="15"/>
                <w:szCs w:val="15"/>
                <w:color w:val="auto"/>
              </w:rPr>
            </w:pPr>
          </w:p>
        </w:tc>
        <w:tc>
          <w:tcPr>
            <w:tcW w:w="1540" w:type="dxa"/>
            <w:vAlign w:val="bottom"/>
            <w:shd w:val="clear" w:color="auto" w:fill="F1F2F2"/>
          </w:tcPr>
          <w:p>
            <w:pPr>
              <w:ind w:left="20"/>
              <w:spacing w:after="0"/>
              <w:rPr>
                <w:sz w:val="20"/>
                <w:szCs w:val="20"/>
                <w:color w:val="auto"/>
              </w:rPr>
            </w:pPr>
            <w:r>
              <w:rPr>
                <w:rFonts w:ascii="Arial" w:cs="Arial" w:eastAsia="Arial" w:hAnsi="Arial"/>
                <w:sz w:val="14"/>
                <w:szCs w:val="14"/>
                <w:b w:val="1"/>
                <w:bCs w:val="1"/>
                <w:color w:val="auto"/>
              </w:rPr>
              <w:t>Namsun Kim</w:t>
            </w:r>
          </w:p>
        </w:tc>
        <w:tc>
          <w:tcPr>
            <w:tcW w:w="2060" w:type="dxa"/>
            <w:vAlign w:val="bottom"/>
            <w:shd w:val="clear" w:color="auto" w:fill="F1F2F2"/>
          </w:tcPr>
          <w:p>
            <w:pPr>
              <w:ind w:left="400"/>
              <w:spacing w:after="0"/>
              <w:rPr>
                <w:sz w:val="20"/>
                <w:szCs w:val="20"/>
                <w:color w:val="auto"/>
              </w:rPr>
            </w:pPr>
            <w:r>
              <w:rPr>
                <w:rFonts w:ascii="Arial" w:cs="Arial" w:eastAsia="Arial" w:hAnsi="Arial"/>
                <w:sz w:val="14"/>
                <w:szCs w:val="14"/>
                <w:b w:val="1"/>
                <w:bCs w:val="1"/>
                <w:color w:val="auto"/>
              </w:rPr>
              <w:t>Jun Masuda</w:t>
            </w:r>
          </w:p>
        </w:tc>
        <w:tc>
          <w:tcPr>
            <w:tcW w:w="0" w:type="dxa"/>
            <w:vAlign w:val="bottom"/>
          </w:tcPr>
          <w:p>
            <w:pPr>
              <w:spacing w:after="0"/>
              <w:rPr>
                <w:sz w:val="1"/>
                <w:szCs w:val="1"/>
                <w:color w:val="auto"/>
              </w:rPr>
            </w:pPr>
          </w:p>
        </w:tc>
      </w:tr>
      <w:tr>
        <w:trPr>
          <w:trHeight w:val="171"/>
        </w:trPr>
        <w:tc>
          <w:tcPr>
            <w:tcW w:w="120" w:type="dxa"/>
            <w:vAlign w:val="bottom"/>
            <w:shd w:val="clear" w:color="auto" w:fill="F1F2F2"/>
          </w:tcPr>
          <w:p>
            <w:pPr>
              <w:spacing w:after="0"/>
              <w:rPr>
                <w:sz w:val="14"/>
                <w:szCs w:val="14"/>
                <w:color w:val="auto"/>
              </w:rPr>
            </w:pPr>
          </w:p>
        </w:tc>
        <w:tc>
          <w:tcPr>
            <w:tcW w:w="7260" w:type="dxa"/>
            <w:vAlign w:val="bottom"/>
            <w:vMerge w:val="restart"/>
            <w:shd w:val="clear" w:color="auto" w:fill="F1F2F2"/>
          </w:tcPr>
          <w:p>
            <w:pPr>
              <w:ind w:left="20"/>
              <w:spacing w:after="0"/>
              <w:rPr>
                <w:sz w:val="20"/>
                <w:szCs w:val="20"/>
                <w:color w:val="auto"/>
              </w:rPr>
            </w:pPr>
            <w:r>
              <w:rPr>
                <w:rFonts w:ascii="Arial" w:cs="Arial" w:eastAsia="Arial" w:hAnsi="Arial"/>
                <w:sz w:val="14"/>
                <w:szCs w:val="14"/>
                <w:color w:val="auto"/>
              </w:rPr>
              <w:t>Experience and expertise with the content and media industry, resulting in a deep understanding of the</w:t>
            </w:r>
          </w:p>
        </w:tc>
        <w:tc>
          <w:tcPr>
            <w:tcW w:w="260" w:type="dxa"/>
            <w:vAlign w:val="bottom"/>
            <w:shd w:val="clear" w:color="auto" w:fill="F1F2F2"/>
          </w:tcPr>
          <w:p>
            <w:pPr>
              <w:spacing w:after="0"/>
              <w:rPr>
                <w:sz w:val="14"/>
                <w:szCs w:val="14"/>
                <w:color w:val="auto"/>
              </w:rPr>
            </w:pPr>
          </w:p>
        </w:tc>
        <w:tc>
          <w:tcPr>
            <w:tcW w:w="1540" w:type="dxa"/>
            <w:vAlign w:val="bottom"/>
            <w:shd w:val="clear" w:color="auto" w:fill="F1F2F2"/>
          </w:tcPr>
          <w:p>
            <w:pPr>
              <w:ind w:left="20"/>
              <w:spacing w:after="0"/>
              <w:rPr>
                <w:sz w:val="20"/>
                <w:szCs w:val="20"/>
                <w:color w:val="auto"/>
              </w:rPr>
            </w:pPr>
            <w:r>
              <w:rPr>
                <w:rFonts w:ascii="Arial" w:cs="Arial" w:eastAsia="Arial" w:hAnsi="Arial"/>
                <w:sz w:val="14"/>
                <w:szCs w:val="14"/>
                <w:b w:val="1"/>
                <w:bCs w:val="1"/>
                <w:color w:val="auto"/>
              </w:rPr>
              <w:t>Nancy Dubuc</w:t>
            </w:r>
          </w:p>
        </w:tc>
        <w:tc>
          <w:tcPr>
            <w:tcW w:w="2060" w:type="dxa"/>
            <w:vAlign w:val="bottom"/>
            <w:shd w:val="clear" w:color="auto" w:fill="F1F2F2"/>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120" w:type="dxa"/>
            <w:vAlign w:val="bottom"/>
            <w:shd w:val="clear" w:color="auto" w:fill="F1F2F2"/>
          </w:tcPr>
          <w:p>
            <w:pPr>
              <w:spacing w:after="0"/>
              <w:rPr>
                <w:sz w:val="16"/>
                <w:szCs w:val="16"/>
                <w:color w:val="auto"/>
              </w:rPr>
            </w:pPr>
          </w:p>
        </w:tc>
        <w:tc>
          <w:tcPr>
            <w:tcW w:w="7260" w:type="dxa"/>
            <w:vAlign w:val="bottom"/>
            <w:vMerge w:val="continue"/>
            <w:shd w:val="clear" w:color="auto" w:fill="F1F2F2"/>
          </w:tcPr>
          <w:p>
            <w:pPr>
              <w:spacing w:after="0"/>
              <w:rPr>
                <w:sz w:val="16"/>
                <w:szCs w:val="16"/>
                <w:color w:val="auto"/>
              </w:rPr>
            </w:pPr>
          </w:p>
        </w:tc>
        <w:tc>
          <w:tcPr>
            <w:tcW w:w="260" w:type="dxa"/>
            <w:vAlign w:val="bottom"/>
            <w:shd w:val="clear" w:color="auto" w:fill="F1F2F2"/>
          </w:tcPr>
          <w:p>
            <w:pPr>
              <w:spacing w:after="0"/>
              <w:rPr>
                <w:sz w:val="16"/>
                <w:szCs w:val="16"/>
                <w:color w:val="auto"/>
              </w:rPr>
            </w:pPr>
          </w:p>
        </w:tc>
        <w:tc>
          <w:tcPr>
            <w:tcW w:w="1540" w:type="dxa"/>
            <w:vAlign w:val="bottom"/>
            <w:shd w:val="clear" w:color="auto" w:fill="F1F2F2"/>
          </w:tcPr>
          <w:p>
            <w:pPr>
              <w:spacing w:after="0"/>
              <w:rPr>
                <w:sz w:val="16"/>
                <w:szCs w:val="16"/>
                <w:color w:val="auto"/>
              </w:rPr>
            </w:pPr>
          </w:p>
        </w:tc>
        <w:tc>
          <w:tcPr>
            <w:tcW w:w="2060" w:type="dxa"/>
            <w:vAlign w:val="bottom"/>
            <w:shd w:val="clear" w:color="auto" w:fill="F1F2F2"/>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20" w:type="dxa"/>
            <w:vAlign w:val="bottom"/>
            <w:shd w:val="clear" w:color="auto" w:fill="F1F2F2"/>
          </w:tcPr>
          <w:p>
            <w:pPr>
              <w:spacing w:after="0"/>
              <w:rPr>
                <w:sz w:val="16"/>
                <w:szCs w:val="16"/>
                <w:color w:val="auto"/>
              </w:rPr>
            </w:pPr>
          </w:p>
        </w:tc>
        <w:tc>
          <w:tcPr>
            <w:tcW w:w="7260" w:type="dxa"/>
            <w:vAlign w:val="bottom"/>
            <w:shd w:val="clear" w:color="auto" w:fill="F1F2F2"/>
          </w:tcPr>
          <w:p>
            <w:pPr>
              <w:ind w:left="20"/>
              <w:spacing w:after="0"/>
              <w:rPr>
                <w:sz w:val="20"/>
                <w:szCs w:val="20"/>
                <w:color w:val="auto"/>
              </w:rPr>
            </w:pPr>
            <w:r>
              <w:rPr>
                <w:rFonts w:ascii="Arial" w:cs="Arial" w:eastAsia="Arial" w:hAnsi="Arial"/>
                <w:sz w:val="14"/>
                <w:szCs w:val="14"/>
                <w:color w:val="auto"/>
              </w:rPr>
              <w:t>associated consumer expectations and industry trends.</w:t>
            </w:r>
          </w:p>
        </w:tc>
        <w:tc>
          <w:tcPr>
            <w:tcW w:w="260" w:type="dxa"/>
            <w:vAlign w:val="bottom"/>
            <w:shd w:val="clear" w:color="auto" w:fill="F1F2F2"/>
          </w:tcPr>
          <w:p>
            <w:pPr>
              <w:spacing w:after="0"/>
              <w:rPr>
                <w:sz w:val="16"/>
                <w:szCs w:val="16"/>
                <w:color w:val="auto"/>
              </w:rPr>
            </w:pPr>
          </w:p>
        </w:tc>
        <w:tc>
          <w:tcPr>
            <w:tcW w:w="1540" w:type="dxa"/>
            <w:vAlign w:val="bottom"/>
            <w:shd w:val="clear" w:color="auto" w:fill="F1F2F2"/>
          </w:tcPr>
          <w:p>
            <w:pPr>
              <w:spacing w:after="0"/>
              <w:rPr>
                <w:sz w:val="16"/>
                <w:szCs w:val="16"/>
                <w:color w:val="auto"/>
              </w:rPr>
            </w:pPr>
          </w:p>
        </w:tc>
        <w:tc>
          <w:tcPr>
            <w:tcW w:w="2060" w:type="dxa"/>
            <w:vAlign w:val="bottom"/>
            <w:shd w:val="clear" w:color="auto" w:fill="F1F2F2"/>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120" w:type="dxa"/>
            <w:vAlign w:val="bottom"/>
            <w:shd w:val="clear" w:color="auto" w:fill="F1F2F2"/>
          </w:tcPr>
          <w:p>
            <w:pPr>
              <w:spacing w:after="0"/>
              <w:rPr>
                <w:sz w:val="11"/>
                <w:szCs w:val="11"/>
                <w:color w:val="auto"/>
              </w:rPr>
            </w:pPr>
          </w:p>
        </w:tc>
        <w:tc>
          <w:tcPr>
            <w:tcW w:w="7260" w:type="dxa"/>
            <w:vAlign w:val="bottom"/>
            <w:shd w:val="clear" w:color="auto" w:fill="F1F2F2"/>
          </w:tcPr>
          <w:p>
            <w:pPr>
              <w:spacing w:after="0"/>
              <w:rPr>
                <w:sz w:val="11"/>
                <w:szCs w:val="11"/>
                <w:color w:val="auto"/>
              </w:rPr>
            </w:pPr>
          </w:p>
        </w:tc>
        <w:tc>
          <w:tcPr>
            <w:tcW w:w="260" w:type="dxa"/>
            <w:vAlign w:val="bottom"/>
            <w:shd w:val="clear" w:color="auto" w:fill="F1F2F2"/>
          </w:tcPr>
          <w:p>
            <w:pPr>
              <w:spacing w:after="0"/>
              <w:rPr>
                <w:sz w:val="11"/>
                <w:szCs w:val="11"/>
                <w:color w:val="auto"/>
              </w:rPr>
            </w:pPr>
          </w:p>
        </w:tc>
        <w:tc>
          <w:tcPr>
            <w:tcW w:w="1540" w:type="dxa"/>
            <w:vAlign w:val="bottom"/>
            <w:shd w:val="clear" w:color="auto" w:fill="F1F2F2"/>
          </w:tcPr>
          <w:p>
            <w:pPr>
              <w:spacing w:after="0"/>
              <w:rPr>
                <w:sz w:val="11"/>
                <w:szCs w:val="11"/>
                <w:color w:val="auto"/>
              </w:rPr>
            </w:pPr>
          </w:p>
        </w:tc>
        <w:tc>
          <w:tcPr>
            <w:tcW w:w="2060" w:type="dxa"/>
            <w:vAlign w:val="bottom"/>
            <w:shd w:val="clear" w:color="auto" w:fill="F1F2F2"/>
          </w:tcPr>
          <w:p>
            <w:pPr>
              <w:spacing w:after="0"/>
              <w:rPr>
                <w:sz w:val="11"/>
                <w:szCs w:val="11"/>
                <w:color w:val="auto"/>
              </w:rPr>
            </w:pPr>
          </w:p>
        </w:tc>
        <w:tc>
          <w:tcPr>
            <w:tcW w:w="0" w:type="dxa"/>
            <w:vAlign w:val="bottom"/>
          </w:tcPr>
          <w:p>
            <w:pPr>
              <w:spacing w:after="0"/>
              <w:rPr>
                <w:sz w:val="1"/>
                <w:szCs w:val="1"/>
                <w:color w:val="auto"/>
              </w:rPr>
            </w:pPr>
          </w:p>
        </w:tc>
      </w:tr>
      <w:tr>
        <w:trPr>
          <w:trHeight w:val="301"/>
        </w:trPr>
        <w:tc>
          <w:tcPr>
            <w:tcW w:w="120" w:type="dxa"/>
            <w:vAlign w:val="bottom"/>
          </w:tcPr>
          <w:p>
            <w:pPr>
              <w:spacing w:after="0"/>
              <w:rPr>
                <w:sz w:val="24"/>
                <w:szCs w:val="24"/>
                <w:color w:val="auto"/>
              </w:rPr>
            </w:pPr>
          </w:p>
        </w:tc>
        <w:tc>
          <w:tcPr>
            <w:tcW w:w="7520" w:type="dxa"/>
            <w:vAlign w:val="bottom"/>
            <w:gridSpan w:val="2"/>
          </w:tcPr>
          <w:p>
            <w:pPr>
              <w:ind w:left="20"/>
              <w:spacing w:after="0"/>
              <w:rPr>
                <w:sz w:val="20"/>
                <w:szCs w:val="20"/>
                <w:color w:val="auto"/>
              </w:rPr>
            </w:pPr>
            <w:r>
              <w:rPr>
                <w:rFonts w:ascii="Arial" w:cs="Arial" w:eastAsia="Arial" w:hAnsi="Arial"/>
                <w:sz w:val="16"/>
                <w:szCs w:val="16"/>
                <w:b w:val="1"/>
                <w:bCs w:val="1"/>
                <w:color w:val="00DC64"/>
              </w:rPr>
              <w:t>TECHNOLOGY</w:t>
            </w:r>
          </w:p>
        </w:tc>
        <w:tc>
          <w:tcPr>
            <w:tcW w:w="1540" w:type="dxa"/>
            <w:vAlign w:val="bottom"/>
          </w:tcPr>
          <w:p>
            <w:pPr>
              <w:ind w:left="20"/>
              <w:spacing w:after="0"/>
              <w:rPr>
                <w:sz w:val="20"/>
                <w:szCs w:val="20"/>
                <w:color w:val="auto"/>
              </w:rPr>
            </w:pPr>
            <w:r>
              <w:rPr>
                <w:rFonts w:ascii="Arial" w:cs="Arial" w:eastAsia="Arial" w:hAnsi="Arial"/>
                <w:sz w:val="14"/>
                <w:szCs w:val="14"/>
                <w:b w:val="1"/>
                <w:bCs w:val="1"/>
                <w:color w:val="auto"/>
              </w:rPr>
              <w:t>Junkoo Kim</w:t>
            </w:r>
          </w:p>
        </w:tc>
        <w:tc>
          <w:tcPr>
            <w:tcW w:w="2060" w:type="dxa"/>
            <w:vAlign w:val="bottom"/>
          </w:tcPr>
          <w:p>
            <w:pPr>
              <w:ind w:left="400"/>
              <w:spacing w:after="0"/>
              <w:rPr>
                <w:sz w:val="20"/>
                <w:szCs w:val="20"/>
                <w:color w:val="auto"/>
              </w:rPr>
            </w:pPr>
            <w:r>
              <w:rPr>
                <w:rFonts w:ascii="Arial" w:cs="Arial" w:eastAsia="Arial" w:hAnsi="Arial"/>
                <w:sz w:val="14"/>
                <w:szCs w:val="14"/>
                <w:b w:val="1"/>
                <w:bCs w:val="1"/>
                <w:color w:val="auto"/>
              </w:rPr>
              <w:t>Haejin Lee</w:t>
            </w:r>
          </w:p>
        </w:tc>
        <w:tc>
          <w:tcPr>
            <w:tcW w:w="0" w:type="dxa"/>
            <w:vAlign w:val="bottom"/>
          </w:tcPr>
          <w:p>
            <w:pPr>
              <w:spacing w:after="0"/>
              <w:rPr>
                <w:sz w:val="1"/>
                <w:szCs w:val="1"/>
                <w:color w:val="auto"/>
              </w:rPr>
            </w:pPr>
          </w:p>
        </w:tc>
      </w:tr>
      <w:tr>
        <w:trPr>
          <w:trHeight w:val="176"/>
        </w:trPr>
        <w:tc>
          <w:tcPr>
            <w:tcW w:w="120" w:type="dxa"/>
            <w:vAlign w:val="bottom"/>
          </w:tcPr>
          <w:p>
            <w:pPr>
              <w:spacing w:after="0"/>
              <w:rPr>
                <w:sz w:val="15"/>
                <w:szCs w:val="15"/>
                <w:color w:val="auto"/>
              </w:rPr>
            </w:pPr>
          </w:p>
        </w:tc>
        <w:tc>
          <w:tcPr>
            <w:tcW w:w="7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40" w:type="dxa"/>
            <w:vAlign w:val="bottom"/>
          </w:tcPr>
          <w:p>
            <w:pPr>
              <w:ind w:left="20"/>
              <w:spacing w:after="0"/>
              <w:rPr>
                <w:sz w:val="20"/>
                <w:szCs w:val="20"/>
                <w:color w:val="auto"/>
              </w:rPr>
            </w:pPr>
            <w:r>
              <w:rPr>
                <w:rFonts w:ascii="Arial" w:cs="Arial" w:eastAsia="Arial" w:hAnsi="Arial"/>
                <w:sz w:val="14"/>
                <w:szCs w:val="14"/>
                <w:b w:val="1"/>
                <w:bCs w:val="1"/>
                <w:color w:val="auto"/>
              </w:rPr>
              <w:t>Jun Masuda</w:t>
            </w:r>
          </w:p>
        </w:tc>
        <w:tc>
          <w:tcPr>
            <w:tcW w:w="2060" w:type="dxa"/>
            <w:vAlign w:val="bottom"/>
          </w:tcPr>
          <w:p>
            <w:pPr>
              <w:ind w:left="400"/>
              <w:spacing w:after="0"/>
              <w:rPr>
                <w:sz w:val="20"/>
                <w:szCs w:val="20"/>
                <w:color w:val="auto"/>
              </w:rPr>
            </w:pPr>
            <w:r>
              <w:rPr>
                <w:rFonts w:ascii="Arial" w:cs="Arial" w:eastAsia="Arial" w:hAnsi="Arial"/>
                <w:sz w:val="14"/>
                <w:szCs w:val="14"/>
                <w:b w:val="1"/>
                <w:bCs w:val="1"/>
                <w:color w:val="auto"/>
              </w:rPr>
              <w:t>Isabelle Winkles</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7520" w:type="dxa"/>
            <w:vAlign w:val="bottom"/>
            <w:gridSpan w:val="2"/>
            <w:vMerge w:val="restart"/>
          </w:tcPr>
          <w:p>
            <w:pPr>
              <w:ind w:left="20"/>
              <w:spacing w:after="0"/>
              <w:rPr>
                <w:sz w:val="20"/>
                <w:szCs w:val="20"/>
                <w:color w:val="auto"/>
              </w:rPr>
            </w:pPr>
            <w:r>
              <w:rPr>
                <w:rFonts w:ascii="Arial" w:cs="Arial" w:eastAsia="Arial" w:hAnsi="Arial"/>
                <w:sz w:val="14"/>
                <w:szCs w:val="14"/>
                <w:color w:val="auto"/>
              </w:rPr>
              <w:t>Experience and expertise in the technology field, including related to digital technologies that facilitate the</w:t>
            </w:r>
          </w:p>
        </w:tc>
        <w:tc>
          <w:tcPr>
            <w:tcW w:w="1540" w:type="dxa"/>
            <w:vAlign w:val="bottom"/>
          </w:tcPr>
          <w:p>
            <w:pPr>
              <w:ind w:left="20"/>
              <w:spacing w:after="0"/>
              <w:rPr>
                <w:sz w:val="20"/>
                <w:szCs w:val="20"/>
                <w:color w:val="auto"/>
              </w:rPr>
            </w:pPr>
            <w:r>
              <w:rPr>
                <w:rFonts w:ascii="Arial" w:cs="Arial" w:eastAsia="Arial" w:hAnsi="Arial"/>
                <w:sz w:val="14"/>
                <w:szCs w:val="14"/>
                <w:b w:val="1"/>
                <w:bCs w:val="1"/>
                <w:color w:val="auto"/>
              </w:rPr>
              <w:t>Saeju Jeong</w:t>
            </w:r>
          </w:p>
        </w:tc>
        <w:tc>
          <w:tcPr>
            <w:tcW w:w="2060" w:type="dxa"/>
            <w:vAlign w:val="bottom"/>
          </w:tcPr>
          <w:p>
            <w:pPr>
              <w:ind w:left="400"/>
              <w:spacing w:after="0"/>
              <w:rPr>
                <w:sz w:val="20"/>
                <w:szCs w:val="20"/>
                <w:color w:val="auto"/>
              </w:rPr>
            </w:pPr>
            <w:r>
              <w:rPr>
                <w:rFonts w:ascii="Arial" w:cs="Arial" w:eastAsia="Arial" w:hAnsi="Arial"/>
                <w:sz w:val="14"/>
                <w:szCs w:val="14"/>
                <w:b w:val="1"/>
                <w:bCs w:val="1"/>
                <w:color w:val="auto"/>
              </w:rPr>
              <w:t>Yongsoo Kim</w:t>
            </w:r>
          </w:p>
        </w:tc>
        <w:tc>
          <w:tcPr>
            <w:tcW w:w="0" w:type="dxa"/>
            <w:vAlign w:val="bottom"/>
          </w:tcPr>
          <w:p>
            <w:pPr>
              <w:spacing w:after="0"/>
              <w:rPr>
                <w:sz w:val="1"/>
                <w:szCs w:val="1"/>
                <w:color w:val="auto"/>
              </w:rPr>
            </w:pPr>
          </w:p>
        </w:tc>
      </w:tr>
      <w:tr>
        <w:trPr>
          <w:trHeight w:val="168"/>
        </w:trPr>
        <w:tc>
          <w:tcPr>
            <w:tcW w:w="120" w:type="dxa"/>
            <w:vAlign w:val="bottom"/>
          </w:tcPr>
          <w:p>
            <w:pPr>
              <w:spacing w:after="0"/>
              <w:rPr>
                <w:sz w:val="14"/>
                <w:szCs w:val="14"/>
                <w:color w:val="auto"/>
              </w:rPr>
            </w:pPr>
          </w:p>
        </w:tc>
        <w:tc>
          <w:tcPr>
            <w:tcW w:w="7520" w:type="dxa"/>
            <w:vAlign w:val="bottom"/>
            <w:gridSpan w:val="2"/>
            <w:vMerge w:val="continue"/>
          </w:tcPr>
          <w:p>
            <w:pPr>
              <w:spacing w:after="0"/>
              <w:rPr>
                <w:sz w:val="14"/>
                <w:szCs w:val="14"/>
                <w:color w:val="auto"/>
              </w:rPr>
            </w:pPr>
          </w:p>
        </w:tc>
        <w:tc>
          <w:tcPr>
            <w:tcW w:w="15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20" w:type="dxa"/>
            <w:vAlign w:val="bottom"/>
          </w:tcPr>
          <w:p>
            <w:pPr>
              <w:spacing w:after="0"/>
              <w:rPr>
                <w:sz w:val="15"/>
                <w:szCs w:val="15"/>
                <w:color w:val="auto"/>
              </w:rPr>
            </w:pPr>
          </w:p>
        </w:tc>
        <w:tc>
          <w:tcPr>
            <w:tcW w:w="7520" w:type="dxa"/>
            <w:vAlign w:val="bottom"/>
            <w:gridSpan w:val="2"/>
          </w:tcPr>
          <w:p>
            <w:pPr>
              <w:ind w:left="20"/>
              <w:spacing w:after="0"/>
              <w:rPr>
                <w:sz w:val="20"/>
                <w:szCs w:val="20"/>
                <w:color w:val="auto"/>
              </w:rPr>
            </w:pPr>
            <w:r>
              <w:rPr>
                <w:rFonts w:ascii="Arial" w:cs="Arial" w:eastAsia="Arial" w:hAnsi="Arial"/>
                <w:sz w:val="14"/>
                <w:szCs w:val="14"/>
                <w:color w:val="auto"/>
              </w:rPr>
              <w:t>Company’s business objectives, resulting in knowledge of how to anticipate technology trends, understand and</w:t>
            </w:r>
          </w:p>
        </w:tc>
        <w:tc>
          <w:tcPr>
            <w:tcW w:w="154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20" w:type="dxa"/>
            <w:vAlign w:val="bottom"/>
          </w:tcPr>
          <w:p>
            <w:pPr>
              <w:spacing w:after="0"/>
              <w:rPr>
                <w:sz w:val="16"/>
                <w:szCs w:val="16"/>
                <w:color w:val="auto"/>
              </w:rPr>
            </w:pPr>
          </w:p>
        </w:tc>
        <w:tc>
          <w:tcPr>
            <w:tcW w:w="7520" w:type="dxa"/>
            <w:vAlign w:val="bottom"/>
            <w:gridSpan w:val="2"/>
          </w:tcPr>
          <w:p>
            <w:pPr>
              <w:ind w:left="20"/>
              <w:spacing w:after="0"/>
              <w:rPr>
                <w:sz w:val="20"/>
                <w:szCs w:val="20"/>
                <w:color w:val="auto"/>
              </w:rPr>
            </w:pPr>
            <w:r>
              <w:rPr>
                <w:rFonts w:ascii="Arial" w:cs="Arial" w:eastAsia="Arial" w:hAnsi="Arial"/>
                <w:sz w:val="14"/>
                <w:szCs w:val="14"/>
                <w:color w:val="auto"/>
              </w:rPr>
              <w:t>manage technology-related risks, and generate innovation and new business models.</w:t>
            </w:r>
          </w:p>
        </w:tc>
        <w:tc>
          <w:tcPr>
            <w:tcW w:w="15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2"/>
        </w:trPr>
        <w:tc>
          <w:tcPr>
            <w:tcW w:w="120" w:type="dxa"/>
            <w:vAlign w:val="bottom"/>
          </w:tcPr>
          <w:p>
            <w:pPr>
              <w:spacing w:after="0"/>
              <w:rPr>
                <w:sz w:val="24"/>
                <w:szCs w:val="24"/>
                <w:color w:val="auto"/>
              </w:rPr>
            </w:pPr>
          </w:p>
        </w:tc>
        <w:tc>
          <w:tcPr>
            <w:tcW w:w="7520" w:type="dxa"/>
            <w:vAlign w:val="bottom"/>
            <w:gridSpan w:val="2"/>
          </w:tcPr>
          <w:p>
            <w:pPr>
              <w:spacing w:after="0"/>
              <w:rPr>
                <w:sz w:val="24"/>
                <w:szCs w:val="24"/>
                <w:color w:val="auto"/>
              </w:rPr>
            </w:pPr>
          </w:p>
        </w:tc>
        <w:tc>
          <w:tcPr>
            <w:tcW w:w="15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120" w:type="dxa"/>
            <w:vAlign w:val="bottom"/>
            <w:shd w:val="clear" w:color="auto" w:fill="F1F2F2"/>
          </w:tcPr>
          <w:p>
            <w:pPr>
              <w:spacing w:after="0"/>
              <w:rPr>
                <w:sz w:val="24"/>
                <w:szCs w:val="24"/>
                <w:color w:val="auto"/>
              </w:rPr>
            </w:pPr>
          </w:p>
        </w:tc>
        <w:tc>
          <w:tcPr>
            <w:tcW w:w="7260" w:type="dxa"/>
            <w:vAlign w:val="bottom"/>
            <w:shd w:val="clear" w:color="auto" w:fill="F1F2F2"/>
          </w:tcPr>
          <w:p>
            <w:pPr>
              <w:ind w:left="20"/>
              <w:spacing w:after="0"/>
              <w:rPr>
                <w:sz w:val="20"/>
                <w:szCs w:val="20"/>
                <w:color w:val="auto"/>
              </w:rPr>
            </w:pPr>
            <w:r>
              <w:rPr>
                <w:rFonts w:ascii="Arial" w:cs="Arial" w:eastAsia="Arial" w:hAnsi="Arial"/>
                <w:sz w:val="16"/>
                <w:szCs w:val="16"/>
                <w:b w:val="1"/>
                <w:bCs w:val="1"/>
                <w:color w:val="00DC64"/>
              </w:rPr>
              <w:t>SALES AND MARKETING</w:t>
            </w:r>
          </w:p>
        </w:tc>
        <w:tc>
          <w:tcPr>
            <w:tcW w:w="260" w:type="dxa"/>
            <w:vAlign w:val="bottom"/>
            <w:shd w:val="clear" w:color="auto" w:fill="F1F2F2"/>
          </w:tcPr>
          <w:p>
            <w:pPr>
              <w:spacing w:after="0"/>
              <w:rPr>
                <w:sz w:val="24"/>
                <w:szCs w:val="24"/>
                <w:color w:val="auto"/>
              </w:rPr>
            </w:pPr>
          </w:p>
        </w:tc>
        <w:tc>
          <w:tcPr>
            <w:tcW w:w="1540" w:type="dxa"/>
            <w:vAlign w:val="bottom"/>
            <w:shd w:val="clear" w:color="auto" w:fill="F1F2F2"/>
          </w:tcPr>
          <w:p>
            <w:pPr>
              <w:ind w:left="20"/>
              <w:spacing w:after="0"/>
              <w:rPr>
                <w:sz w:val="20"/>
                <w:szCs w:val="20"/>
                <w:color w:val="auto"/>
              </w:rPr>
            </w:pPr>
            <w:r>
              <w:rPr>
                <w:rFonts w:ascii="Arial" w:cs="Arial" w:eastAsia="Arial" w:hAnsi="Arial"/>
                <w:sz w:val="14"/>
                <w:szCs w:val="14"/>
                <w:b w:val="1"/>
                <w:bCs w:val="1"/>
                <w:color w:val="auto"/>
              </w:rPr>
              <w:t>Junkoo Kim</w:t>
            </w:r>
          </w:p>
        </w:tc>
        <w:tc>
          <w:tcPr>
            <w:tcW w:w="2060" w:type="dxa"/>
            <w:vAlign w:val="bottom"/>
            <w:shd w:val="clear" w:color="auto" w:fill="F1F2F2"/>
          </w:tcPr>
          <w:p>
            <w:pPr>
              <w:ind w:left="400"/>
              <w:spacing w:after="0"/>
              <w:rPr>
                <w:sz w:val="20"/>
                <w:szCs w:val="20"/>
                <w:color w:val="auto"/>
              </w:rPr>
            </w:pPr>
            <w:r>
              <w:rPr>
                <w:rFonts w:ascii="Arial" w:cs="Arial" w:eastAsia="Arial" w:hAnsi="Arial"/>
                <w:sz w:val="14"/>
                <w:szCs w:val="14"/>
                <w:b w:val="1"/>
                <w:bCs w:val="1"/>
                <w:color w:val="auto"/>
              </w:rPr>
              <w:t>David J. Lee</w:t>
            </w:r>
          </w:p>
        </w:tc>
        <w:tc>
          <w:tcPr>
            <w:tcW w:w="0" w:type="dxa"/>
            <w:vAlign w:val="bottom"/>
          </w:tcPr>
          <w:p>
            <w:pPr>
              <w:spacing w:after="0"/>
              <w:rPr>
                <w:sz w:val="1"/>
                <w:szCs w:val="1"/>
                <w:color w:val="auto"/>
              </w:rPr>
            </w:pPr>
          </w:p>
        </w:tc>
      </w:tr>
      <w:tr>
        <w:trPr>
          <w:trHeight w:val="176"/>
        </w:trPr>
        <w:tc>
          <w:tcPr>
            <w:tcW w:w="120" w:type="dxa"/>
            <w:vAlign w:val="bottom"/>
            <w:shd w:val="clear" w:color="auto" w:fill="F1F2F2"/>
          </w:tcPr>
          <w:p>
            <w:pPr>
              <w:spacing w:after="0"/>
              <w:rPr>
                <w:sz w:val="15"/>
                <w:szCs w:val="15"/>
                <w:color w:val="auto"/>
              </w:rPr>
            </w:pPr>
          </w:p>
        </w:tc>
        <w:tc>
          <w:tcPr>
            <w:tcW w:w="7260" w:type="dxa"/>
            <w:vAlign w:val="bottom"/>
            <w:shd w:val="clear" w:color="auto" w:fill="F1F2F2"/>
          </w:tcPr>
          <w:p>
            <w:pPr>
              <w:spacing w:after="0"/>
              <w:rPr>
                <w:sz w:val="15"/>
                <w:szCs w:val="15"/>
                <w:color w:val="auto"/>
              </w:rPr>
            </w:pPr>
          </w:p>
        </w:tc>
        <w:tc>
          <w:tcPr>
            <w:tcW w:w="260" w:type="dxa"/>
            <w:vAlign w:val="bottom"/>
            <w:shd w:val="clear" w:color="auto" w:fill="F1F2F2"/>
          </w:tcPr>
          <w:p>
            <w:pPr>
              <w:spacing w:after="0"/>
              <w:rPr>
                <w:sz w:val="15"/>
                <w:szCs w:val="15"/>
                <w:color w:val="auto"/>
              </w:rPr>
            </w:pPr>
          </w:p>
        </w:tc>
        <w:tc>
          <w:tcPr>
            <w:tcW w:w="1540" w:type="dxa"/>
            <w:vAlign w:val="bottom"/>
            <w:shd w:val="clear" w:color="auto" w:fill="F1F2F2"/>
          </w:tcPr>
          <w:p>
            <w:pPr>
              <w:ind w:left="20"/>
              <w:spacing w:after="0"/>
              <w:rPr>
                <w:sz w:val="20"/>
                <w:szCs w:val="20"/>
                <w:color w:val="auto"/>
              </w:rPr>
            </w:pPr>
            <w:r>
              <w:rPr>
                <w:rFonts w:ascii="Arial" w:cs="Arial" w:eastAsia="Arial" w:hAnsi="Arial"/>
                <w:sz w:val="14"/>
                <w:szCs w:val="14"/>
                <w:b w:val="1"/>
                <w:bCs w:val="1"/>
                <w:color w:val="auto"/>
              </w:rPr>
              <w:t>Nancy Dubuc</w:t>
            </w:r>
          </w:p>
        </w:tc>
        <w:tc>
          <w:tcPr>
            <w:tcW w:w="2060" w:type="dxa"/>
            <w:vAlign w:val="bottom"/>
            <w:shd w:val="clear" w:color="auto" w:fill="F1F2F2"/>
          </w:tcPr>
          <w:p>
            <w:pPr>
              <w:ind w:left="400"/>
              <w:spacing w:after="0"/>
              <w:rPr>
                <w:sz w:val="20"/>
                <w:szCs w:val="20"/>
                <w:color w:val="auto"/>
              </w:rPr>
            </w:pPr>
            <w:r>
              <w:rPr>
                <w:rFonts w:ascii="Arial" w:cs="Arial" w:eastAsia="Arial" w:hAnsi="Arial"/>
                <w:sz w:val="14"/>
                <w:szCs w:val="14"/>
                <w:b w:val="1"/>
                <w:bCs w:val="1"/>
                <w:color w:val="auto"/>
              </w:rPr>
              <w:t>Isabelle Winkles</w:t>
            </w:r>
          </w:p>
        </w:tc>
        <w:tc>
          <w:tcPr>
            <w:tcW w:w="0" w:type="dxa"/>
            <w:vAlign w:val="bottom"/>
          </w:tcPr>
          <w:p>
            <w:pPr>
              <w:spacing w:after="0"/>
              <w:rPr>
                <w:sz w:val="1"/>
                <w:szCs w:val="1"/>
                <w:color w:val="auto"/>
              </w:rPr>
            </w:pPr>
          </w:p>
        </w:tc>
      </w:tr>
      <w:tr>
        <w:trPr>
          <w:trHeight w:val="171"/>
        </w:trPr>
        <w:tc>
          <w:tcPr>
            <w:tcW w:w="120" w:type="dxa"/>
            <w:vAlign w:val="bottom"/>
            <w:shd w:val="clear" w:color="auto" w:fill="F1F2F2"/>
          </w:tcPr>
          <w:p>
            <w:pPr>
              <w:spacing w:after="0"/>
              <w:rPr>
                <w:sz w:val="14"/>
                <w:szCs w:val="14"/>
                <w:color w:val="auto"/>
              </w:rPr>
            </w:pPr>
          </w:p>
        </w:tc>
        <w:tc>
          <w:tcPr>
            <w:tcW w:w="7260" w:type="dxa"/>
            <w:vAlign w:val="bottom"/>
            <w:vMerge w:val="restart"/>
            <w:shd w:val="clear" w:color="auto" w:fill="F1F2F2"/>
          </w:tcPr>
          <w:p>
            <w:pPr>
              <w:ind w:left="20"/>
              <w:spacing w:after="0"/>
              <w:rPr>
                <w:sz w:val="20"/>
                <w:szCs w:val="20"/>
                <w:color w:val="auto"/>
              </w:rPr>
            </w:pPr>
            <w:r>
              <w:rPr>
                <w:rFonts w:ascii="Arial" w:cs="Arial" w:eastAsia="Arial" w:hAnsi="Arial"/>
                <w:sz w:val="14"/>
                <w:szCs w:val="14"/>
                <w:color w:val="auto"/>
              </w:rPr>
              <w:t>Strategic or management experience in marketing and branding of products, and developing strategies to grow</w:t>
            </w:r>
          </w:p>
        </w:tc>
        <w:tc>
          <w:tcPr>
            <w:tcW w:w="260" w:type="dxa"/>
            <w:vAlign w:val="bottom"/>
            <w:shd w:val="clear" w:color="auto" w:fill="F1F2F2"/>
          </w:tcPr>
          <w:p>
            <w:pPr>
              <w:spacing w:after="0"/>
              <w:rPr>
                <w:sz w:val="14"/>
                <w:szCs w:val="14"/>
                <w:color w:val="auto"/>
              </w:rPr>
            </w:pPr>
          </w:p>
        </w:tc>
        <w:tc>
          <w:tcPr>
            <w:tcW w:w="1540" w:type="dxa"/>
            <w:vAlign w:val="bottom"/>
            <w:shd w:val="clear" w:color="auto" w:fill="F1F2F2"/>
          </w:tcPr>
          <w:p>
            <w:pPr>
              <w:ind w:left="20"/>
              <w:spacing w:after="0"/>
              <w:rPr>
                <w:sz w:val="20"/>
                <w:szCs w:val="20"/>
                <w:color w:val="auto"/>
              </w:rPr>
            </w:pPr>
            <w:r>
              <w:rPr>
                <w:rFonts w:ascii="Arial" w:cs="Arial" w:eastAsia="Arial" w:hAnsi="Arial"/>
                <w:sz w:val="14"/>
                <w:szCs w:val="14"/>
                <w:b w:val="1"/>
                <w:bCs w:val="1"/>
                <w:color w:val="auto"/>
              </w:rPr>
              <w:t>Saeju Jeong</w:t>
            </w:r>
          </w:p>
        </w:tc>
        <w:tc>
          <w:tcPr>
            <w:tcW w:w="2060" w:type="dxa"/>
            <w:vAlign w:val="bottom"/>
            <w:shd w:val="clear" w:color="auto" w:fill="F1F2F2"/>
          </w:tcPr>
          <w:p>
            <w:pPr>
              <w:ind w:left="400"/>
              <w:spacing w:after="0"/>
              <w:rPr>
                <w:sz w:val="20"/>
                <w:szCs w:val="20"/>
                <w:color w:val="auto"/>
              </w:rPr>
            </w:pPr>
            <w:r>
              <w:rPr>
                <w:rFonts w:ascii="Arial" w:cs="Arial" w:eastAsia="Arial" w:hAnsi="Arial"/>
                <w:sz w:val="14"/>
                <w:szCs w:val="14"/>
                <w:b w:val="1"/>
                <w:bCs w:val="1"/>
                <w:color w:val="auto"/>
              </w:rPr>
              <w:t>Yongsoo Kim</w:t>
            </w:r>
          </w:p>
        </w:tc>
        <w:tc>
          <w:tcPr>
            <w:tcW w:w="0" w:type="dxa"/>
            <w:vAlign w:val="bottom"/>
          </w:tcPr>
          <w:p>
            <w:pPr>
              <w:spacing w:after="0"/>
              <w:rPr>
                <w:sz w:val="1"/>
                <w:szCs w:val="1"/>
                <w:color w:val="auto"/>
              </w:rPr>
            </w:pPr>
          </w:p>
        </w:tc>
      </w:tr>
      <w:tr>
        <w:trPr>
          <w:trHeight w:val="193"/>
        </w:trPr>
        <w:tc>
          <w:tcPr>
            <w:tcW w:w="120" w:type="dxa"/>
            <w:vAlign w:val="bottom"/>
            <w:shd w:val="clear" w:color="auto" w:fill="F1F2F2"/>
          </w:tcPr>
          <w:p>
            <w:pPr>
              <w:spacing w:after="0"/>
              <w:rPr>
                <w:sz w:val="16"/>
                <w:szCs w:val="16"/>
                <w:color w:val="auto"/>
              </w:rPr>
            </w:pPr>
          </w:p>
        </w:tc>
        <w:tc>
          <w:tcPr>
            <w:tcW w:w="7260" w:type="dxa"/>
            <w:vAlign w:val="bottom"/>
            <w:vMerge w:val="continue"/>
            <w:shd w:val="clear" w:color="auto" w:fill="F1F2F2"/>
          </w:tcPr>
          <w:p>
            <w:pPr>
              <w:spacing w:after="0"/>
              <w:rPr>
                <w:sz w:val="16"/>
                <w:szCs w:val="16"/>
                <w:color w:val="auto"/>
              </w:rPr>
            </w:pPr>
          </w:p>
        </w:tc>
        <w:tc>
          <w:tcPr>
            <w:tcW w:w="260" w:type="dxa"/>
            <w:vAlign w:val="bottom"/>
            <w:shd w:val="clear" w:color="auto" w:fill="F1F2F2"/>
          </w:tcPr>
          <w:p>
            <w:pPr>
              <w:spacing w:after="0"/>
              <w:rPr>
                <w:sz w:val="16"/>
                <w:szCs w:val="16"/>
                <w:color w:val="auto"/>
              </w:rPr>
            </w:pPr>
          </w:p>
        </w:tc>
        <w:tc>
          <w:tcPr>
            <w:tcW w:w="1540" w:type="dxa"/>
            <w:vAlign w:val="bottom"/>
            <w:shd w:val="clear" w:color="auto" w:fill="F1F2F2"/>
          </w:tcPr>
          <w:p>
            <w:pPr>
              <w:spacing w:after="0"/>
              <w:rPr>
                <w:sz w:val="16"/>
                <w:szCs w:val="16"/>
                <w:color w:val="auto"/>
              </w:rPr>
            </w:pPr>
          </w:p>
        </w:tc>
        <w:tc>
          <w:tcPr>
            <w:tcW w:w="2060" w:type="dxa"/>
            <w:vAlign w:val="bottom"/>
            <w:shd w:val="clear" w:color="auto" w:fill="F1F2F2"/>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20" w:type="dxa"/>
            <w:vAlign w:val="bottom"/>
            <w:shd w:val="clear" w:color="auto" w:fill="F1F2F2"/>
          </w:tcPr>
          <w:p>
            <w:pPr>
              <w:spacing w:after="0"/>
              <w:rPr>
                <w:sz w:val="16"/>
                <w:szCs w:val="16"/>
                <w:color w:val="auto"/>
              </w:rPr>
            </w:pPr>
          </w:p>
        </w:tc>
        <w:tc>
          <w:tcPr>
            <w:tcW w:w="7260" w:type="dxa"/>
            <w:vAlign w:val="bottom"/>
            <w:shd w:val="clear" w:color="auto" w:fill="F1F2F2"/>
          </w:tcPr>
          <w:p>
            <w:pPr>
              <w:ind w:left="20"/>
              <w:spacing w:after="0"/>
              <w:rPr>
                <w:sz w:val="20"/>
                <w:szCs w:val="20"/>
                <w:color w:val="auto"/>
              </w:rPr>
            </w:pPr>
            <w:r>
              <w:rPr>
                <w:rFonts w:ascii="Arial" w:cs="Arial" w:eastAsia="Arial" w:hAnsi="Arial"/>
                <w:sz w:val="14"/>
                <w:szCs w:val="14"/>
                <w:color w:val="auto"/>
              </w:rPr>
              <w:t>market share, build brand awareness, and enhance enterprise reputation.</w:t>
            </w:r>
          </w:p>
        </w:tc>
        <w:tc>
          <w:tcPr>
            <w:tcW w:w="260" w:type="dxa"/>
            <w:vAlign w:val="bottom"/>
            <w:shd w:val="clear" w:color="auto" w:fill="F1F2F2"/>
          </w:tcPr>
          <w:p>
            <w:pPr>
              <w:spacing w:after="0"/>
              <w:rPr>
                <w:sz w:val="16"/>
                <w:szCs w:val="16"/>
                <w:color w:val="auto"/>
              </w:rPr>
            </w:pPr>
          </w:p>
        </w:tc>
        <w:tc>
          <w:tcPr>
            <w:tcW w:w="1540" w:type="dxa"/>
            <w:vAlign w:val="bottom"/>
            <w:shd w:val="clear" w:color="auto" w:fill="F1F2F2"/>
          </w:tcPr>
          <w:p>
            <w:pPr>
              <w:spacing w:after="0"/>
              <w:rPr>
                <w:sz w:val="16"/>
                <w:szCs w:val="16"/>
                <w:color w:val="auto"/>
              </w:rPr>
            </w:pPr>
          </w:p>
        </w:tc>
        <w:tc>
          <w:tcPr>
            <w:tcW w:w="2060" w:type="dxa"/>
            <w:vAlign w:val="bottom"/>
            <w:shd w:val="clear" w:color="auto" w:fill="F1F2F2"/>
          </w:tcPr>
          <w:p>
            <w:pPr>
              <w:spacing w:after="0"/>
              <w:rPr>
                <w:sz w:val="16"/>
                <w:szCs w:val="16"/>
                <w:color w:val="auto"/>
              </w:rPr>
            </w:pPr>
          </w:p>
        </w:tc>
        <w:tc>
          <w:tcPr>
            <w:tcW w:w="0" w:type="dxa"/>
            <w:vAlign w:val="bottom"/>
          </w:tcPr>
          <w:p>
            <w:pPr>
              <w:spacing w:after="0"/>
              <w:rPr>
                <w:sz w:val="1"/>
                <w:szCs w:val="1"/>
                <w:color w:val="auto"/>
              </w:rPr>
            </w:pPr>
          </w:p>
        </w:tc>
      </w:tr>
      <w:tr>
        <w:trPr>
          <w:trHeight w:val="305"/>
        </w:trPr>
        <w:tc>
          <w:tcPr>
            <w:tcW w:w="120" w:type="dxa"/>
            <w:vAlign w:val="bottom"/>
            <w:shd w:val="clear" w:color="auto" w:fill="F1F2F2"/>
          </w:tcPr>
          <w:p>
            <w:pPr>
              <w:spacing w:after="0"/>
              <w:rPr>
                <w:sz w:val="24"/>
                <w:szCs w:val="24"/>
                <w:color w:val="auto"/>
              </w:rPr>
            </w:pPr>
          </w:p>
        </w:tc>
        <w:tc>
          <w:tcPr>
            <w:tcW w:w="7260" w:type="dxa"/>
            <w:vAlign w:val="bottom"/>
            <w:shd w:val="clear" w:color="auto" w:fill="F1F2F2"/>
          </w:tcPr>
          <w:p>
            <w:pPr>
              <w:spacing w:after="0"/>
              <w:rPr>
                <w:sz w:val="24"/>
                <w:szCs w:val="24"/>
                <w:color w:val="auto"/>
              </w:rPr>
            </w:pPr>
          </w:p>
        </w:tc>
        <w:tc>
          <w:tcPr>
            <w:tcW w:w="260" w:type="dxa"/>
            <w:vAlign w:val="bottom"/>
            <w:shd w:val="clear" w:color="auto" w:fill="F1F2F2"/>
          </w:tcPr>
          <w:p>
            <w:pPr>
              <w:spacing w:after="0"/>
              <w:rPr>
                <w:sz w:val="24"/>
                <w:szCs w:val="24"/>
                <w:color w:val="auto"/>
              </w:rPr>
            </w:pPr>
          </w:p>
        </w:tc>
        <w:tc>
          <w:tcPr>
            <w:tcW w:w="1540" w:type="dxa"/>
            <w:vAlign w:val="bottom"/>
            <w:shd w:val="clear" w:color="auto" w:fill="F1F2F2"/>
          </w:tcPr>
          <w:p>
            <w:pPr>
              <w:spacing w:after="0"/>
              <w:rPr>
                <w:sz w:val="24"/>
                <w:szCs w:val="24"/>
                <w:color w:val="auto"/>
              </w:rPr>
            </w:pPr>
          </w:p>
        </w:tc>
        <w:tc>
          <w:tcPr>
            <w:tcW w:w="2060" w:type="dxa"/>
            <w:vAlign w:val="bottom"/>
            <w:shd w:val="clear" w:color="auto" w:fill="F1F2F2"/>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120" w:type="dxa"/>
            <w:vAlign w:val="bottom"/>
          </w:tcPr>
          <w:p>
            <w:pPr>
              <w:spacing w:after="0"/>
              <w:rPr>
                <w:sz w:val="24"/>
                <w:szCs w:val="24"/>
                <w:color w:val="auto"/>
              </w:rPr>
            </w:pPr>
          </w:p>
        </w:tc>
        <w:tc>
          <w:tcPr>
            <w:tcW w:w="7520" w:type="dxa"/>
            <w:vAlign w:val="bottom"/>
            <w:gridSpan w:val="2"/>
          </w:tcPr>
          <w:p>
            <w:pPr>
              <w:ind w:left="20"/>
              <w:spacing w:after="0"/>
              <w:rPr>
                <w:sz w:val="20"/>
                <w:szCs w:val="20"/>
                <w:color w:val="auto"/>
              </w:rPr>
            </w:pPr>
            <w:r>
              <w:rPr>
                <w:rFonts w:ascii="Arial" w:cs="Arial" w:eastAsia="Arial" w:hAnsi="Arial"/>
                <w:sz w:val="16"/>
                <w:szCs w:val="16"/>
                <w:b w:val="1"/>
                <w:bCs w:val="1"/>
                <w:color w:val="00DC64"/>
              </w:rPr>
              <w:t>HUMAN CAPITAL MANAGEMENT</w:t>
            </w:r>
          </w:p>
        </w:tc>
        <w:tc>
          <w:tcPr>
            <w:tcW w:w="1540" w:type="dxa"/>
            <w:vAlign w:val="bottom"/>
          </w:tcPr>
          <w:p>
            <w:pPr>
              <w:ind w:left="20"/>
              <w:spacing w:after="0"/>
              <w:rPr>
                <w:sz w:val="20"/>
                <w:szCs w:val="20"/>
                <w:color w:val="auto"/>
              </w:rPr>
            </w:pPr>
            <w:r>
              <w:rPr>
                <w:rFonts w:ascii="Arial" w:cs="Arial" w:eastAsia="Arial" w:hAnsi="Arial"/>
                <w:sz w:val="14"/>
                <w:szCs w:val="14"/>
                <w:b w:val="1"/>
                <w:bCs w:val="1"/>
                <w:color w:val="auto"/>
              </w:rPr>
              <w:t>Junkoo Kim</w:t>
            </w:r>
          </w:p>
        </w:tc>
        <w:tc>
          <w:tcPr>
            <w:tcW w:w="2060" w:type="dxa"/>
            <w:vAlign w:val="bottom"/>
          </w:tcPr>
          <w:p>
            <w:pPr>
              <w:ind w:left="400"/>
              <w:spacing w:after="0"/>
              <w:rPr>
                <w:sz w:val="20"/>
                <w:szCs w:val="20"/>
                <w:color w:val="auto"/>
              </w:rPr>
            </w:pPr>
            <w:r>
              <w:rPr>
                <w:rFonts w:ascii="Arial" w:cs="Arial" w:eastAsia="Arial" w:hAnsi="Arial"/>
                <w:sz w:val="14"/>
                <w:szCs w:val="14"/>
                <w:b w:val="1"/>
                <w:bCs w:val="1"/>
                <w:color w:val="auto"/>
              </w:rPr>
              <w:t>Haejin Lee</w:t>
            </w:r>
          </w:p>
        </w:tc>
        <w:tc>
          <w:tcPr>
            <w:tcW w:w="0" w:type="dxa"/>
            <w:vAlign w:val="bottom"/>
          </w:tcPr>
          <w:p>
            <w:pPr>
              <w:spacing w:after="0"/>
              <w:rPr>
                <w:sz w:val="1"/>
                <w:szCs w:val="1"/>
                <w:color w:val="auto"/>
              </w:rPr>
            </w:pPr>
          </w:p>
        </w:tc>
      </w:tr>
      <w:tr>
        <w:trPr>
          <w:trHeight w:val="175"/>
        </w:trPr>
        <w:tc>
          <w:tcPr>
            <w:tcW w:w="120" w:type="dxa"/>
            <w:vAlign w:val="bottom"/>
          </w:tcPr>
          <w:p>
            <w:pPr>
              <w:spacing w:after="0"/>
              <w:rPr>
                <w:sz w:val="15"/>
                <w:szCs w:val="15"/>
                <w:color w:val="auto"/>
              </w:rPr>
            </w:pPr>
          </w:p>
        </w:tc>
        <w:tc>
          <w:tcPr>
            <w:tcW w:w="7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40" w:type="dxa"/>
            <w:vAlign w:val="bottom"/>
          </w:tcPr>
          <w:p>
            <w:pPr>
              <w:ind w:left="20"/>
              <w:spacing w:after="0"/>
              <w:rPr>
                <w:sz w:val="20"/>
                <w:szCs w:val="20"/>
                <w:color w:val="auto"/>
              </w:rPr>
            </w:pPr>
            <w:r>
              <w:rPr>
                <w:rFonts w:ascii="Arial" w:cs="Arial" w:eastAsia="Arial" w:hAnsi="Arial"/>
                <w:sz w:val="14"/>
                <w:szCs w:val="14"/>
                <w:b w:val="1"/>
                <w:bCs w:val="1"/>
                <w:color w:val="auto"/>
              </w:rPr>
              <w:t>Jun Masuda</w:t>
            </w:r>
          </w:p>
        </w:tc>
        <w:tc>
          <w:tcPr>
            <w:tcW w:w="2060" w:type="dxa"/>
            <w:vAlign w:val="bottom"/>
          </w:tcPr>
          <w:p>
            <w:pPr>
              <w:ind w:left="400"/>
              <w:spacing w:after="0"/>
              <w:rPr>
                <w:sz w:val="20"/>
                <w:szCs w:val="20"/>
                <w:color w:val="auto"/>
              </w:rPr>
            </w:pPr>
            <w:r>
              <w:rPr>
                <w:rFonts w:ascii="Arial" w:cs="Arial" w:eastAsia="Arial" w:hAnsi="Arial"/>
                <w:sz w:val="14"/>
                <w:szCs w:val="14"/>
                <w:b w:val="1"/>
                <w:bCs w:val="1"/>
                <w:color w:val="auto"/>
              </w:rPr>
              <w:t>Nancy Dubuc</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7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tcPr>
          <w:p>
            <w:pPr>
              <w:ind w:left="20"/>
              <w:spacing w:after="0"/>
              <w:rPr>
                <w:sz w:val="20"/>
                <w:szCs w:val="20"/>
                <w:color w:val="auto"/>
              </w:rPr>
            </w:pPr>
            <w:r>
              <w:rPr>
                <w:rFonts w:ascii="Arial" w:cs="Arial" w:eastAsia="Arial" w:hAnsi="Arial"/>
                <w:sz w:val="14"/>
                <w:szCs w:val="14"/>
                <w:b w:val="1"/>
                <w:bCs w:val="1"/>
                <w:color w:val="auto"/>
              </w:rPr>
              <w:t>Isabelle Winkles</w:t>
            </w:r>
          </w:p>
        </w:tc>
        <w:tc>
          <w:tcPr>
            <w:tcW w:w="2060" w:type="dxa"/>
            <w:vAlign w:val="bottom"/>
          </w:tcPr>
          <w:p>
            <w:pPr>
              <w:ind w:left="400"/>
              <w:spacing w:after="0"/>
              <w:rPr>
                <w:sz w:val="20"/>
                <w:szCs w:val="20"/>
                <w:color w:val="auto"/>
              </w:rPr>
            </w:pPr>
            <w:r>
              <w:rPr>
                <w:rFonts w:ascii="Arial" w:cs="Arial" w:eastAsia="Arial" w:hAnsi="Arial"/>
                <w:sz w:val="14"/>
                <w:szCs w:val="14"/>
                <w:b w:val="1"/>
                <w:bCs w:val="1"/>
                <w:color w:val="auto"/>
              </w:rPr>
              <w:t>Saeju Jeong</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68"/>
        </w:trPr>
        <w:tc>
          <w:tcPr>
            <w:tcW w:w="100" w:type="dxa"/>
            <w:vAlign w:val="bottom"/>
          </w:tcPr>
          <w:p>
            <w:pPr>
              <w:spacing w:after="0"/>
              <w:rPr>
                <w:sz w:val="14"/>
                <w:szCs w:val="14"/>
                <w:color w:val="auto"/>
              </w:rPr>
            </w:pPr>
          </w:p>
        </w:tc>
        <w:tc>
          <w:tcPr>
            <w:tcW w:w="11080" w:type="dxa"/>
            <w:vAlign w:val="bottom"/>
          </w:tcPr>
          <w:p>
            <w:pPr>
              <w:ind w:left="20"/>
              <w:spacing w:after="0"/>
              <w:rPr>
                <w:sz w:val="20"/>
                <w:szCs w:val="20"/>
                <w:color w:val="auto"/>
              </w:rPr>
            </w:pPr>
            <w:r>
              <w:rPr>
                <w:rFonts w:ascii="Arial" w:cs="Arial" w:eastAsia="Arial" w:hAnsi="Arial"/>
                <w:sz w:val="14"/>
                <w:szCs w:val="14"/>
                <w:color w:val="auto"/>
              </w:rPr>
              <w:t>Experience and expertise related to human resource issues such as attracting and retaining talent, succession</w:t>
            </w:r>
          </w:p>
        </w:tc>
      </w:tr>
      <w:tr>
        <w:trPr>
          <w:trHeight w:val="190"/>
        </w:trPr>
        <w:tc>
          <w:tcPr>
            <w:tcW w:w="100" w:type="dxa"/>
            <w:vAlign w:val="bottom"/>
          </w:tcPr>
          <w:p>
            <w:pPr>
              <w:spacing w:after="0"/>
              <w:rPr>
                <w:sz w:val="16"/>
                <w:szCs w:val="16"/>
                <w:color w:val="auto"/>
              </w:rPr>
            </w:pPr>
          </w:p>
        </w:tc>
        <w:tc>
          <w:tcPr>
            <w:tcW w:w="11080" w:type="dxa"/>
            <w:vAlign w:val="bottom"/>
          </w:tcPr>
          <w:p>
            <w:pPr>
              <w:ind w:left="20"/>
              <w:spacing w:after="0"/>
              <w:rPr>
                <w:sz w:val="20"/>
                <w:szCs w:val="20"/>
                <w:color w:val="auto"/>
              </w:rPr>
            </w:pPr>
            <w:r>
              <w:rPr>
                <w:rFonts w:ascii="Arial" w:cs="Arial" w:eastAsia="Arial" w:hAnsi="Arial"/>
                <w:sz w:val="14"/>
                <w:szCs w:val="14"/>
                <w:color w:val="auto"/>
              </w:rPr>
              <w:t>planning, and employee engagement.</w:t>
            </w:r>
          </w:p>
        </w:tc>
      </w:tr>
      <w:tr>
        <w:trPr>
          <w:trHeight w:val="1113"/>
        </w:trPr>
        <w:tc>
          <w:tcPr>
            <w:tcW w:w="100" w:type="dxa"/>
            <w:vAlign w:val="bottom"/>
          </w:tcPr>
          <w:p>
            <w:pPr>
              <w:jc w:val="right"/>
              <w:spacing w:after="0"/>
              <w:rPr>
                <w:sz w:val="20"/>
                <w:szCs w:val="20"/>
                <w:color w:val="auto"/>
              </w:rPr>
            </w:pPr>
            <w:r>
              <w:rPr>
                <w:rFonts w:ascii="Arial" w:cs="Arial" w:eastAsia="Arial" w:hAnsi="Arial"/>
                <w:sz w:val="14"/>
                <w:szCs w:val="14"/>
                <w:b w:val="1"/>
                <w:bCs w:val="1"/>
                <w:color w:val="auto"/>
                <w:w w:val="76"/>
              </w:rPr>
              <w:t>6</w:t>
            </w:r>
          </w:p>
        </w:tc>
        <w:tc>
          <w:tcPr>
            <w:tcW w:w="11080" w:type="dxa"/>
            <w:vAlign w:val="bottom"/>
          </w:tcPr>
          <w:p>
            <w:pPr>
              <w:ind w:left="9580"/>
              <w:spacing w:after="0"/>
              <w:rPr>
                <w:sz w:val="20"/>
                <w:szCs w:val="20"/>
                <w:color w:val="auto"/>
              </w:rPr>
            </w:pPr>
            <w:r>
              <w:rPr>
                <w:rFonts w:ascii="Arial" w:cs="Arial" w:eastAsia="Arial" w:hAnsi="Arial"/>
                <w:sz w:val="14"/>
                <w:szCs w:val="14"/>
                <w:b w:val="1"/>
                <w:bCs w:val="1"/>
                <w:color w:val="auto"/>
              </w:rPr>
              <w:t>2026 Proxy Statement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219710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-624205</wp:posOffset>
            </wp:positionV>
            <wp:extent cx="705485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54850" cy="8890"/>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-229870</wp:posOffset>
            </wp:positionV>
            <wp:extent cx="282575" cy="2743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82575" cy="27432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0" w:name="page11"/>
    <w:bookmarkEnd w:id="10"/>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20"/>
          <w:szCs w:val="20"/>
          <w:b w:val="1"/>
          <w:bCs w:val="1"/>
          <w:color w:val="00DC64"/>
        </w:rPr>
        <w:t>DIRECTOR NOMINATIONS</w:t>
      </w:r>
    </w:p>
    <w:p>
      <w:pPr>
        <w:spacing w:after="0" w:line="198" w:lineRule="exact"/>
        <w:rPr>
          <w:sz w:val="20"/>
          <w:szCs w:val="20"/>
          <w:color w:val="auto"/>
        </w:rPr>
      </w:pPr>
    </w:p>
    <w:p>
      <w:pPr>
        <w:ind w:right="100"/>
        <w:spacing w:after="0" w:line="303" w:lineRule="auto"/>
        <w:rPr>
          <w:sz w:val="20"/>
          <w:szCs w:val="20"/>
          <w:color w:val="auto"/>
        </w:rPr>
      </w:pPr>
      <w:r>
        <w:rPr>
          <w:rFonts w:ascii="Arial" w:cs="Arial" w:eastAsia="Arial" w:hAnsi="Arial"/>
          <w:sz w:val="16"/>
          <w:szCs w:val="16"/>
          <w:color w:val="auto"/>
        </w:rPr>
        <w:t>The Board’s policy is to encourage selection of directors who will contribute to the Company’s overall corporate goals. The Board and the Nominating and Corporate Governance Committee annually review the experience and characteristics appropriate for Board members and director candidates in light of the Board’s composition at the time, and the skills and expertise needed for effective operation of the Board and its committees. The board seeks director candidates who represent a mix of backgrounds, skills and experiences that will enhance the quality of the board’s deliberations and decisions. As outlined in the Company’s Corporate Governance Guidelines, the director criteria the Board considers, based on the recommendations of the Nominating and Corporate Governance Committee, will include, among others:</w:t>
      </w:r>
    </w:p>
    <w:p>
      <w:pPr>
        <w:spacing w:after="0" w:line="118" w:lineRule="exact"/>
        <w:rPr>
          <w:sz w:val="20"/>
          <w:szCs w:val="20"/>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Good reputation and character with high personal and professional ethical standards;</w:t>
      </w:r>
    </w:p>
    <w:p>
      <w:pPr>
        <w:spacing w:after="0" w:line="99" w:lineRule="exact"/>
        <w:rPr>
          <w:rFonts w:ascii="Arial" w:cs="Arial" w:eastAsia="Arial" w:hAnsi="Arial"/>
          <w:sz w:val="16"/>
          <w:szCs w:val="16"/>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Maintenance of active professional life to keep in contact with the markets or industries in which the Company is active;</w:t>
      </w:r>
    </w:p>
    <w:p>
      <w:pPr>
        <w:spacing w:after="0" w:line="99" w:lineRule="exact"/>
        <w:rPr>
          <w:rFonts w:ascii="Arial" w:cs="Arial" w:eastAsia="Arial" w:hAnsi="Arial"/>
          <w:sz w:val="16"/>
          <w:szCs w:val="16"/>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Background, experience, qualifications and skills relevant for effective oversight of the Company; and</w:t>
      </w:r>
    </w:p>
    <w:p>
      <w:pPr>
        <w:spacing w:after="0" w:line="99" w:lineRule="exact"/>
        <w:rPr>
          <w:rFonts w:ascii="Arial" w:cs="Arial" w:eastAsia="Arial" w:hAnsi="Arial"/>
          <w:sz w:val="16"/>
          <w:szCs w:val="16"/>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Capacity to commit time and willingness to carry out duties and responsibilities.</w:t>
      </w:r>
    </w:p>
    <w:p>
      <w:pPr>
        <w:spacing w:after="0" w:line="208" w:lineRule="exact"/>
        <w:rPr>
          <w:sz w:val="20"/>
          <w:szCs w:val="20"/>
          <w:color w:val="auto"/>
        </w:rPr>
      </w:pPr>
    </w:p>
    <w:p>
      <w:pPr>
        <w:ind w:right="20"/>
        <w:spacing w:after="0" w:line="303" w:lineRule="auto"/>
        <w:rPr>
          <w:sz w:val="20"/>
          <w:szCs w:val="20"/>
          <w:color w:val="auto"/>
        </w:rPr>
      </w:pPr>
      <w:r>
        <w:rPr>
          <w:rFonts w:ascii="Arial" w:cs="Arial" w:eastAsia="Arial" w:hAnsi="Arial"/>
          <w:sz w:val="16"/>
          <w:szCs w:val="16"/>
          <w:color w:val="auto"/>
        </w:rPr>
        <w:t>The Board and the Nominating and Corporate Governance Committee employ the same process to evaluate all candidates, including those submitted by stockholders. The Nominating and Corporate Governance Committee may engage third parties to assist in the search for candidates and provide recommendations. Subject to any earlier resignation or removal in accordance with the terms of our Certificate of Incorporation, our Bylaws and the Stockholder Agreements (as defined and discussed below), the term of our Class I directors will expire at the annual meeting of stockholders to be held in 2028, the term of our Class II directors expires at this Annual Meeting, and the term of our Class III directors will expire at the annual meeting of stockholders to be held in 2027.</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Stockholder Agreements</w:t>
      </w:r>
    </w:p>
    <w:p>
      <w:pPr>
        <w:spacing w:after="0" w:line="154" w:lineRule="exact"/>
        <w:rPr>
          <w:sz w:val="20"/>
          <w:szCs w:val="20"/>
          <w:color w:val="auto"/>
        </w:rPr>
      </w:pPr>
    </w:p>
    <w:p>
      <w:pPr>
        <w:ind w:right="60"/>
        <w:spacing w:after="0" w:line="299" w:lineRule="auto"/>
        <w:rPr>
          <w:sz w:val="20"/>
          <w:szCs w:val="20"/>
          <w:color w:val="auto"/>
        </w:rPr>
      </w:pPr>
      <w:r>
        <w:rPr>
          <w:rFonts w:ascii="Arial" w:cs="Arial" w:eastAsia="Arial" w:hAnsi="Arial"/>
          <w:sz w:val="16"/>
          <w:szCs w:val="16"/>
          <w:color w:val="auto"/>
        </w:rPr>
        <w:t>In connection with the consummation of our initial public offering (“IPO”), we entered into separate stockholder agreements with NAVER Corporation (“NAVER”) and LY Corporation, respectively, dated as of June 25, 2024 (each, a “Stockholder Agreement” and, together, the “Stockholder Agreements”). Pursuant to the Stockholder Agreements, each of NAVER and LY Corporation separately agreed with the Company to vote or cause to be voted, at any of our annual or special meetings of the stockholders or in any action by written consent in lieu of such a meeting, all shares then owned by it in favor of the election of the nominees recommended by the Board for election by our stockholders; provided that such nominees will include NAVER Group Directors or LY Group Directors (as each of these terms is defined in our Certificate of Incorporation), as applicable, pursuant to their separate nomination rights as described below. On January 8, 2026, we entered into a Securities Purchase Agreement, dated as of January 8, 2026, by and between the Company and a wholly owned indirect subsidiary of The Walt Disney Company (“Disney”), pursuant to which Disney purchased 2,666,757 shares of our common stock, representing an approximately 2% equity interest in the Company, for an aggregate purchase price of $32,774,443.53. In connection therewith, we provided Disney with certain rights related to its investment, including the ability to approve certain corporate actions that would adversely affect Disney or its affiliates and the ability to sell or otherwise transfer shares for the same consideration, on the same terms and subject to the same conditions as a sale or transfer made by NAVER or LY Corporation.</w:t>
      </w:r>
    </w:p>
    <w:p>
      <w:pPr>
        <w:spacing w:after="0" w:line="138" w:lineRule="exact"/>
        <w:rPr>
          <w:sz w:val="20"/>
          <w:szCs w:val="20"/>
          <w:color w:val="auto"/>
        </w:rPr>
      </w:pPr>
    </w:p>
    <w:p>
      <w:pPr>
        <w:ind w:right="60"/>
        <w:spacing w:after="0" w:line="299" w:lineRule="auto"/>
        <w:rPr>
          <w:sz w:val="20"/>
          <w:szCs w:val="20"/>
          <w:color w:val="auto"/>
        </w:rPr>
      </w:pPr>
      <w:r>
        <w:rPr>
          <w:rFonts w:ascii="Arial" w:cs="Arial" w:eastAsia="Arial" w:hAnsi="Arial"/>
          <w:sz w:val="16"/>
          <w:szCs w:val="16"/>
          <w:color w:val="auto"/>
        </w:rPr>
        <w:t>In addition, our Certificate of Incorporation and the applicable Stockholder Agreements provide that without limiting the rights of NAVER or LY Corporation, respectively, under the Delaware General Corporation Law (“DGCL”), our Certificate of Incorporation or otherwise, that (i) NAVER shall have the right (but not the obligation) to designate up to a number of individuals for election as directors consistent with sub-clauses (a) and (b) set forth herein, and the Company shall include as nominees for election as directors at each meeting of stockholders of the Company at which directors are to be elected, a number of individuals designated by NAVER that, if elected, will result in NAVER having (a) a number of individuals representing a majority of the total number of directors constituting our entire Board at any time when NAVER beneficially owns, in the aggregate, 50% or more in voting power of our common stock entitled to vote generally in the election of directors, and (b) a number of individuals proportionate to NAVER’s beneficial ownership in voting power of our common stock entitled to vote generally in the election of directors, rounded up to the nearest whole number, at any time when NAVER beneficially owns, in the aggregate, less than 50% but at least 5% in voting power of our common stock entitled to vote generally in the election of directors and (ii) LY Corporation shall have the right (but not the obligation) to designate up to one (1) individual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310515</wp:posOffset>
            </wp:positionV>
            <wp:extent cx="282575" cy="2743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82575"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320" w:type="dxa"/>
            <w:vAlign w:val="bottom"/>
          </w:tcPr>
          <w:p>
            <w:pPr>
              <w:ind w:left="20"/>
              <w:spacing w:after="0"/>
              <w:rPr>
                <w:sz w:val="20"/>
                <w:szCs w:val="20"/>
                <w:color w:val="auto"/>
              </w:rPr>
            </w:pPr>
            <w:r>
              <w:rPr>
                <w:rFonts w:ascii="Arial" w:cs="Arial" w:eastAsia="Arial" w:hAnsi="Arial"/>
                <w:sz w:val="14"/>
                <w:szCs w:val="14"/>
                <w:b w:val="1"/>
                <w:bCs w:val="1"/>
                <w:color w:val="auto"/>
              </w:rPr>
              <w:t>2026 Proxy Statement</w:t>
            </w:r>
          </w:p>
        </w:tc>
        <w:tc>
          <w:tcPr>
            <w:tcW w:w="4920" w:type="dxa"/>
            <w:vAlign w:val="bottom"/>
          </w:tcPr>
          <w:p>
            <w:pPr>
              <w:jc w:val="right"/>
              <w:spacing w:after="0"/>
              <w:rPr>
                <w:sz w:val="20"/>
                <w:szCs w:val="20"/>
                <w:color w:val="auto"/>
              </w:rPr>
            </w:pPr>
            <w:r>
              <w:rPr>
                <w:rFonts w:ascii="Arial" w:cs="Arial" w:eastAsia="Arial" w:hAnsi="Arial"/>
                <w:sz w:val="14"/>
                <w:szCs w:val="14"/>
                <w:b w:val="1"/>
                <w:bCs w:val="1"/>
                <w:color w:val="auto"/>
              </w:rPr>
              <w:t>7</w:t>
            </w:r>
          </w:p>
        </w:tc>
      </w:tr>
      <w:tr>
        <w:trPr>
          <w:trHeight w:val="360"/>
        </w:trPr>
        <w:tc>
          <w:tcPr>
            <w:tcW w:w="6320" w:type="dxa"/>
            <w:vAlign w:val="bottom"/>
            <w:tcBorders>
              <w:bottom w:val="single" w:sz="8" w:color="9A9A9A"/>
            </w:tcBorders>
          </w:tcPr>
          <w:p>
            <w:pPr>
              <w:spacing w:after="0"/>
              <w:rPr>
                <w:sz w:val="24"/>
                <w:szCs w:val="24"/>
                <w:color w:val="auto"/>
              </w:rPr>
            </w:pPr>
          </w:p>
        </w:tc>
        <w:tc>
          <w:tcPr>
            <w:tcW w:w="4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1" w:name="page12"/>
    <w:bookmarkEnd w:id="11"/>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right="440"/>
        <w:spacing w:after="0" w:line="306" w:lineRule="auto"/>
        <w:rPr>
          <w:sz w:val="20"/>
          <w:szCs w:val="20"/>
          <w:color w:val="auto"/>
        </w:rPr>
      </w:pPr>
      <w:r>
        <w:rPr>
          <w:rFonts w:ascii="Arial" w:cs="Arial" w:eastAsia="Arial" w:hAnsi="Arial"/>
          <w:sz w:val="16"/>
          <w:szCs w:val="16"/>
          <w:color w:val="auto"/>
        </w:rPr>
        <w:t>election as director consistent with sub-clause (ii) herein, and the Company shall include as a nominee for election as director at each meeting of stockholders of the Company at which directors are to be elected, one (1) individual designated by LY Corporation that, if elected, will result in LY Corporation having one (1) individual serving on our Board at any time when LY Corporation beneficially owns, in the aggregate, 20% or more in voting power of our common stock entitled to vote generally in the election of directors.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Stockholder Recommendations for Director Nominees</w:t>
      </w:r>
    </w:p>
    <w:p>
      <w:pPr>
        <w:spacing w:after="0" w:line="154"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The Nominating and Corporate Governance Committee will consider the director candidates recommended by the Company’s stockholders pursuant to the procedures set forth in the Bylaws. For our 2027 annual meeting, nominations may be submitted to 5700 Wilshire Blvd., Suite 220, Los Angeles, California 90036, Attn: General Counsel and Corporate Secretary, and such nominations will then be forwarded to the chairperson of the Nominating and Corporate Governance Committee. Recommendations must be in writing, and we must receive the recommendation no later than the close of business on March 5, 2027 and not earlier than the close of business on February 3, 2027, assuming the Company does not change the date of the 2027 annual meeting of stockholders by more than 30 days before or 70 days after the one-year anniversary of the Annual Meeting. If the date of the 2027 annual meeting of stockholders is changed by more than 30 calendar days from such anniversary date or is later than 70 calendar days after such anniversary date, the stockholder must provide notice by the later of 90 calendar days prior to the date of the 2027 annual meeting of stockholders or the 10th calendar day following the date on which public announcement of the date of the 2027 annual meeting of stockholders is first made by the Company. Recommendations must also comply with certain other procedural requirements as specified in our Bylaws, and provide certain information specified therein. In addition to satisfying the requirements of the Company’s Bylaws, to comply with the universal proxy rules, stockholders who intend to solicit proxies in support of director nominees, other than the Company’s nominees, must also comply with the additional requirements of Rule 14a-19 under the Exchange Act, including the notice requirements, which such notice must be postmarked or transmitted electronically to the Company at the address stated above for stockholder recommendations no later than 60 calendar days prior to the one-year anniversary of the Annual Meeting (for the 2027 annual meeting of stockholders, no later than April 4, 2027). If the date of the 2027 annual meeting of stockholders is changed by more than 30 calendar days from such anniversary date, however, then the stockholder must provide notice by the later of 60 calendar days prior to the date of the 2027 annual meeting of stockholders or the 10th calendar day following the date on which public announcement of the date of the 2027 annual meeting of stockholders is first made by the Company.</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20"/>
        <w:spacing w:after="0"/>
        <w:tabs>
          <w:tab w:leader="none" w:pos="5360" w:val="left"/>
        </w:tabs>
        <w:rPr>
          <w:sz w:val="20"/>
          <w:szCs w:val="20"/>
          <w:color w:val="auto"/>
        </w:rPr>
      </w:pPr>
      <w:r>
        <w:rPr>
          <w:rFonts w:ascii="Arial" w:cs="Arial" w:eastAsia="Arial" w:hAnsi="Arial"/>
          <w:sz w:val="14"/>
          <w:szCs w:val="14"/>
          <w:b w:val="1"/>
          <w:bCs w:val="1"/>
          <w:color w:val="auto"/>
        </w:rPr>
        <w:t>8</w:t>
      </w:r>
      <w:r>
        <w:rPr>
          <w:sz w:val="20"/>
          <w:szCs w:val="20"/>
          <w:color w:val="auto"/>
        </w:rPr>
        <w:tab/>
      </w:r>
      <w:r>
        <w:rPr>
          <w:sz w:val="1"/>
          <w:szCs w:val="1"/>
          <w:color w:val="auto"/>
        </w:rPr>
        <w:drawing>
          <wp:inline distT="0" distB="0" distL="0" distR="0">
            <wp:extent cx="282575" cy="274320"/>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82575" cy="274320"/>
                    </a:xfrm>
                    <a:prstGeom prst="rect">
                      <a:avLst/>
                    </a:prstGeom>
                    <a:noFill/>
                    <a:ln>
                      <a:noFill/>
                    </a:ln>
                  </pic:spPr>
                </pic:pic>
              </a:graphicData>
            </a:graphic>
          </wp:inline>
        </w:drawing>
      </w:r>
      <w:r>
        <w:rPr>
          <w:rFonts w:ascii="Arial" w:cs="Arial" w:eastAsia="Arial" w:hAnsi="Arial"/>
          <w:sz w:val="14"/>
          <w:szCs w:val="14"/>
          <w:b w:val="1"/>
          <w:bCs w:val="1"/>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2" w:name="page13"/>
    <w:bookmarkEnd w:id="12"/>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6"/>
          <w:szCs w:val="16"/>
          <w:color w:val="auto"/>
        </w:rPr>
        <w:t>PROPOSAL 1</w:t>
      </w:r>
    </w:p>
    <w:p>
      <w:pPr>
        <w:spacing w:after="0" w:line="95" w:lineRule="exact"/>
        <w:rPr>
          <w:sz w:val="20"/>
          <w:szCs w:val="20"/>
          <w:color w:val="auto"/>
        </w:rPr>
      </w:pPr>
    </w:p>
    <w:p>
      <w:pPr>
        <w:spacing w:after="0"/>
        <w:rPr>
          <w:sz w:val="20"/>
          <w:szCs w:val="20"/>
          <w:color w:val="auto"/>
        </w:rPr>
      </w:pPr>
      <w:r>
        <w:rPr>
          <w:rFonts w:ascii="Arial" w:cs="Arial" w:eastAsia="Arial" w:hAnsi="Arial"/>
          <w:sz w:val="54"/>
          <w:szCs w:val="54"/>
          <w:b w:val="1"/>
          <w:bCs w:val="1"/>
          <w:color w:val="00DC64"/>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6"/>
          <w:szCs w:val="16"/>
          <w:color w:val="auto"/>
        </w:rPr>
        <w:t>Our Board recommends that the nominees below be elected as members of the Board at the Annual Meeting.</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96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2500" w:type="dxa"/>
            <w:vAlign w:val="bottom"/>
          </w:tcPr>
          <w:p>
            <w:pPr>
              <w:jc w:val="center"/>
              <w:spacing w:after="0"/>
              <w:rPr>
                <w:sz w:val="20"/>
                <w:szCs w:val="20"/>
                <w:color w:val="auto"/>
              </w:rPr>
            </w:pPr>
            <w:r>
              <w:rPr>
                <w:rFonts w:ascii="Arial" w:cs="Arial" w:eastAsia="Arial" w:hAnsi="Arial"/>
                <w:sz w:val="14"/>
                <w:szCs w:val="14"/>
                <w:b w:val="1"/>
                <w:bCs w:val="1"/>
                <w:color w:val="auto"/>
              </w:rPr>
              <w:t>Expiration of Term For Which</w:t>
            </w:r>
          </w:p>
        </w:tc>
      </w:tr>
      <w:tr>
        <w:trPr>
          <w:trHeight w:val="196"/>
        </w:trPr>
        <w:tc>
          <w:tcPr>
            <w:tcW w:w="2960" w:type="dxa"/>
            <w:vAlign w:val="bottom"/>
          </w:tcPr>
          <w:p>
            <w:pPr>
              <w:ind w:left="100"/>
              <w:spacing w:after="0"/>
              <w:rPr>
                <w:sz w:val="20"/>
                <w:szCs w:val="20"/>
                <w:color w:val="auto"/>
              </w:rPr>
            </w:pPr>
            <w:r>
              <w:rPr>
                <w:rFonts w:ascii="Arial" w:cs="Arial" w:eastAsia="Arial" w:hAnsi="Arial"/>
                <w:sz w:val="14"/>
                <w:szCs w:val="14"/>
                <w:b w:val="1"/>
                <w:bCs w:val="1"/>
                <w:color w:val="auto"/>
              </w:rPr>
              <w:t>Name</w:t>
            </w:r>
          </w:p>
        </w:tc>
        <w:tc>
          <w:tcPr>
            <w:tcW w:w="2620" w:type="dxa"/>
            <w:vAlign w:val="bottom"/>
          </w:tcPr>
          <w:p>
            <w:pPr>
              <w:jc w:val="center"/>
              <w:ind w:left="1168"/>
              <w:spacing w:after="0"/>
              <w:rPr>
                <w:sz w:val="20"/>
                <w:szCs w:val="20"/>
                <w:color w:val="auto"/>
              </w:rPr>
            </w:pPr>
            <w:r>
              <w:rPr>
                <w:rFonts w:ascii="Arial" w:cs="Arial" w:eastAsia="Arial" w:hAnsi="Arial"/>
                <w:sz w:val="14"/>
                <w:szCs w:val="14"/>
                <w:b w:val="1"/>
                <w:bCs w:val="1"/>
                <w:color w:val="auto"/>
              </w:rPr>
              <w:t>Class</w:t>
            </w:r>
          </w:p>
        </w:tc>
        <w:tc>
          <w:tcPr>
            <w:tcW w:w="1140" w:type="dxa"/>
            <w:vAlign w:val="bottom"/>
          </w:tcPr>
          <w:p>
            <w:pPr>
              <w:jc w:val="center"/>
              <w:ind w:left="68"/>
              <w:spacing w:after="0"/>
              <w:rPr>
                <w:sz w:val="20"/>
                <w:szCs w:val="20"/>
                <w:color w:val="auto"/>
              </w:rPr>
            </w:pPr>
            <w:r>
              <w:rPr>
                <w:rFonts w:ascii="Arial" w:cs="Arial" w:eastAsia="Arial" w:hAnsi="Arial"/>
                <w:sz w:val="14"/>
                <w:szCs w:val="14"/>
                <w:b w:val="1"/>
                <w:bCs w:val="1"/>
                <w:color w:val="auto"/>
              </w:rPr>
              <w:t>Age</w:t>
            </w:r>
          </w:p>
        </w:tc>
        <w:tc>
          <w:tcPr>
            <w:tcW w:w="2020" w:type="dxa"/>
            <w:vAlign w:val="bottom"/>
          </w:tcPr>
          <w:p>
            <w:pPr>
              <w:jc w:val="center"/>
              <w:ind w:left="48"/>
              <w:spacing w:after="0"/>
              <w:rPr>
                <w:sz w:val="20"/>
                <w:szCs w:val="20"/>
                <w:color w:val="auto"/>
              </w:rPr>
            </w:pPr>
            <w:r>
              <w:rPr>
                <w:rFonts w:ascii="Arial" w:cs="Arial" w:eastAsia="Arial" w:hAnsi="Arial"/>
                <w:sz w:val="14"/>
                <w:szCs w:val="14"/>
                <w:b w:val="1"/>
                <w:bCs w:val="1"/>
                <w:color w:val="auto"/>
              </w:rPr>
              <w:t>Current Term Expires</w:t>
            </w:r>
          </w:p>
        </w:tc>
        <w:tc>
          <w:tcPr>
            <w:tcW w:w="2500" w:type="dxa"/>
            <w:vAlign w:val="bottom"/>
          </w:tcPr>
          <w:p>
            <w:pPr>
              <w:jc w:val="center"/>
              <w:spacing w:after="0"/>
              <w:rPr>
                <w:sz w:val="20"/>
                <w:szCs w:val="20"/>
                <w:color w:val="auto"/>
              </w:rPr>
            </w:pPr>
            <w:r>
              <w:rPr>
                <w:rFonts w:ascii="Arial" w:cs="Arial" w:eastAsia="Arial" w:hAnsi="Arial"/>
                <w:sz w:val="14"/>
                <w:szCs w:val="14"/>
                <w:b w:val="1"/>
                <w:bCs w:val="1"/>
                <w:color w:val="auto"/>
              </w:rPr>
              <w:t>Nominated</w:t>
            </w:r>
          </w:p>
        </w:tc>
      </w:tr>
      <w:tr>
        <w:trPr>
          <w:trHeight w:val="110"/>
        </w:trPr>
        <w:tc>
          <w:tcPr>
            <w:tcW w:w="2960" w:type="dxa"/>
            <w:vAlign w:val="bottom"/>
          </w:tcPr>
          <w:p>
            <w:pPr>
              <w:spacing w:after="0"/>
              <w:rPr>
                <w:sz w:val="9"/>
                <w:szCs w:val="9"/>
                <w:color w:val="auto"/>
              </w:rPr>
            </w:pPr>
          </w:p>
        </w:tc>
        <w:tc>
          <w:tcPr>
            <w:tcW w:w="26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20" w:type="dxa"/>
            <w:vAlign w:val="bottom"/>
          </w:tcPr>
          <w:p>
            <w:pPr>
              <w:spacing w:after="0"/>
              <w:rPr>
                <w:sz w:val="9"/>
                <w:szCs w:val="9"/>
                <w:color w:val="auto"/>
              </w:rPr>
            </w:pPr>
          </w:p>
        </w:tc>
        <w:tc>
          <w:tcPr>
            <w:tcW w:w="2500" w:type="dxa"/>
            <w:vAlign w:val="bottom"/>
          </w:tcPr>
          <w:p>
            <w:pPr>
              <w:spacing w:after="0"/>
              <w:rPr>
                <w:sz w:val="9"/>
                <w:szCs w:val="9"/>
                <w:color w:val="auto"/>
              </w:rPr>
            </w:pPr>
          </w:p>
        </w:tc>
      </w:tr>
      <w:tr>
        <w:trPr>
          <w:trHeight w:val="230"/>
        </w:trPr>
        <w:tc>
          <w:tcPr>
            <w:tcW w:w="2960" w:type="dxa"/>
            <w:vAlign w:val="bottom"/>
            <w:shd w:val="clear" w:color="auto" w:fill="F1F2F2"/>
          </w:tcPr>
          <w:p>
            <w:pPr>
              <w:ind w:left="100"/>
              <w:spacing w:after="0"/>
              <w:rPr>
                <w:sz w:val="20"/>
                <w:szCs w:val="20"/>
                <w:color w:val="auto"/>
              </w:rPr>
            </w:pPr>
            <w:r>
              <w:rPr>
                <w:rFonts w:ascii="Arial" w:cs="Arial" w:eastAsia="Arial" w:hAnsi="Arial"/>
                <w:sz w:val="14"/>
                <w:szCs w:val="14"/>
                <w:b w:val="1"/>
                <w:bCs w:val="1"/>
                <w:color w:val="auto"/>
              </w:rPr>
              <w:t>Namsun Kim</w:t>
            </w:r>
          </w:p>
        </w:tc>
        <w:tc>
          <w:tcPr>
            <w:tcW w:w="2620" w:type="dxa"/>
            <w:vAlign w:val="bottom"/>
            <w:shd w:val="clear" w:color="auto" w:fill="F1F2F2"/>
          </w:tcPr>
          <w:p>
            <w:pPr>
              <w:jc w:val="center"/>
              <w:ind w:left="1148"/>
              <w:spacing w:after="0"/>
              <w:rPr>
                <w:sz w:val="20"/>
                <w:szCs w:val="20"/>
                <w:color w:val="auto"/>
              </w:rPr>
            </w:pPr>
            <w:r>
              <w:rPr>
                <w:rFonts w:ascii="Arial" w:cs="Arial" w:eastAsia="Arial" w:hAnsi="Arial"/>
                <w:sz w:val="14"/>
                <w:szCs w:val="14"/>
                <w:color w:val="auto"/>
              </w:rPr>
              <w:t>II</w:t>
            </w:r>
          </w:p>
        </w:tc>
        <w:tc>
          <w:tcPr>
            <w:tcW w:w="1140" w:type="dxa"/>
            <w:vAlign w:val="bottom"/>
            <w:shd w:val="clear" w:color="auto" w:fill="F1F2F2"/>
          </w:tcPr>
          <w:p>
            <w:pPr>
              <w:jc w:val="center"/>
              <w:ind w:left="68"/>
              <w:spacing w:after="0"/>
              <w:rPr>
                <w:sz w:val="20"/>
                <w:szCs w:val="20"/>
                <w:color w:val="auto"/>
              </w:rPr>
            </w:pPr>
            <w:r>
              <w:rPr>
                <w:rFonts w:ascii="Arial" w:cs="Arial" w:eastAsia="Arial" w:hAnsi="Arial"/>
                <w:sz w:val="14"/>
                <w:szCs w:val="14"/>
                <w:color w:val="auto"/>
              </w:rPr>
              <w:t>47</w:t>
            </w:r>
          </w:p>
        </w:tc>
        <w:tc>
          <w:tcPr>
            <w:tcW w:w="2020" w:type="dxa"/>
            <w:vAlign w:val="bottom"/>
            <w:shd w:val="clear" w:color="auto" w:fill="F1F2F2"/>
          </w:tcPr>
          <w:p>
            <w:pPr>
              <w:jc w:val="center"/>
              <w:ind w:left="68"/>
              <w:spacing w:after="0"/>
              <w:rPr>
                <w:sz w:val="20"/>
                <w:szCs w:val="20"/>
                <w:color w:val="auto"/>
              </w:rPr>
            </w:pPr>
            <w:r>
              <w:rPr>
                <w:rFonts w:ascii="Arial" w:cs="Arial" w:eastAsia="Arial" w:hAnsi="Arial"/>
                <w:sz w:val="14"/>
                <w:szCs w:val="14"/>
                <w:color w:val="auto"/>
              </w:rPr>
              <w:t>2026</w:t>
            </w:r>
          </w:p>
        </w:tc>
        <w:tc>
          <w:tcPr>
            <w:tcW w:w="2500" w:type="dxa"/>
            <w:vAlign w:val="bottom"/>
            <w:shd w:val="clear" w:color="auto" w:fill="F1F2F2"/>
          </w:tcPr>
          <w:p>
            <w:pPr>
              <w:jc w:val="center"/>
              <w:spacing w:after="0"/>
              <w:rPr>
                <w:sz w:val="20"/>
                <w:szCs w:val="20"/>
                <w:color w:val="auto"/>
              </w:rPr>
            </w:pPr>
            <w:r>
              <w:rPr>
                <w:rFonts w:ascii="Arial" w:cs="Arial" w:eastAsia="Arial" w:hAnsi="Arial"/>
                <w:sz w:val="14"/>
                <w:szCs w:val="14"/>
                <w:color w:val="auto"/>
              </w:rPr>
              <w:t>2029</w:t>
            </w:r>
          </w:p>
        </w:tc>
      </w:tr>
      <w:tr>
        <w:trPr>
          <w:trHeight w:val="222"/>
        </w:trPr>
        <w:tc>
          <w:tcPr>
            <w:tcW w:w="2960" w:type="dxa"/>
            <w:vAlign w:val="bottom"/>
          </w:tcPr>
          <w:p>
            <w:pPr>
              <w:ind w:left="100"/>
              <w:spacing w:after="0"/>
              <w:rPr>
                <w:sz w:val="20"/>
                <w:szCs w:val="20"/>
                <w:color w:val="auto"/>
              </w:rPr>
            </w:pPr>
            <w:r>
              <w:rPr>
                <w:rFonts w:ascii="Arial" w:cs="Arial" w:eastAsia="Arial" w:hAnsi="Arial"/>
                <w:sz w:val="14"/>
                <w:szCs w:val="14"/>
                <w:b w:val="1"/>
                <w:bCs w:val="1"/>
                <w:color w:val="auto"/>
              </w:rPr>
              <w:t>Jun Masuda</w:t>
            </w:r>
          </w:p>
        </w:tc>
        <w:tc>
          <w:tcPr>
            <w:tcW w:w="2620" w:type="dxa"/>
            <w:vAlign w:val="bottom"/>
          </w:tcPr>
          <w:p>
            <w:pPr>
              <w:jc w:val="center"/>
              <w:ind w:left="1148"/>
              <w:spacing w:after="0"/>
              <w:rPr>
                <w:sz w:val="20"/>
                <w:szCs w:val="20"/>
                <w:color w:val="auto"/>
              </w:rPr>
            </w:pPr>
            <w:r>
              <w:rPr>
                <w:rFonts w:ascii="Arial" w:cs="Arial" w:eastAsia="Arial" w:hAnsi="Arial"/>
                <w:sz w:val="14"/>
                <w:szCs w:val="14"/>
                <w:color w:val="auto"/>
              </w:rPr>
              <w:t>II</w:t>
            </w:r>
          </w:p>
        </w:tc>
        <w:tc>
          <w:tcPr>
            <w:tcW w:w="1140" w:type="dxa"/>
            <w:vAlign w:val="bottom"/>
          </w:tcPr>
          <w:p>
            <w:pPr>
              <w:jc w:val="center"/>
              <w:ind w:left="68"/>
              <w:spacing w:after="0"/>
              <w:rPr>
                <w:sz w:val="20"/>
                <w:szCs w:val="20"/>
                <w:color w:val="auto"/>
              </w:rPr>
            </w:pPr>
            <w:r>
              <w:rPr>
                <w:rFonts w:ascii="Arial" w:cs="Arial" w:eastAsia="Arial" w:hAnsi="Arial"/>
                <w:sz w:val="14"/>
                <w:szCs w:val="14"/>
                <w:color w:val="auto"/>
              </w:rPr>
              <w:t>48</w:t>
            </w:r>
          </w:p>
        </w:tc>
        <w:tc>
          <w:tcPr>
            <w:tcW w:w="2020" w:type="dxa"/>
            <w:vAlign w:val="bottom"/>
          </w:tcPr>
          <w:p>
            <w:pPr>
              <w:jc w:val="center"/>
              <w:ind w:left="68"/>
              <w:spacing w:after="0"/>
              <w:rPr>
                <w:sz w:val="20"/>
                <w:szCs w:val="20"/>
                <w:color w:val="auto"/>
              </w:rPr>
            </w:pPr>
            <w:r>
              <w:rPr>
                <w:rFonts w:ascii="Arial" w:cs="Arial" w:eastAsia="Arial" w:hAnsi="Arial"/>
                <w:sz w:val="14"/>
                <w:szCs w:val="14"/>
                <w:color w:val="auto"/>
              </w:rPr>
              <w:t>2026</w:t>
            </w:r>
          </w:p>
        </w:tc>
        <w:tc>
          <w:tcPr>
            <w:tcW w:w="2500" w:type="dxa"/>
            <w:vAlign w:val="bottom"/>
          </w:tcPr>
          <w:p>
            <w:pPr>
              <w:jc w:val="center"/>
              <w:spacing w:after="0"/>
              <w:rPr>
                <w:sz w:val="20"/>
                <w:szCs w:val="20"/>
                <w:color w:val="auto"/>
              </w:rPr>
            </w:pPr>
            <w:r>
              <w:rPr>
                <w:rFonts w:ascii="Arial" w:cs="Arial" w:eastAsia="Arial" w:hAnsi="Arial"/>
                <w:sz w:val="14"/>
                <w:szCs w:val="14"/>
                <w:color w:val="auto"/>
              </w:rPr>
              <w:t>2029</w:t>
            </w:r>
          </w:p>
        </w:tc>
      </w:tr>
      <w:tr>
        <w:trPr>
          <w:trHeight w:val="231"/>
        </w:trPr>
        <w:tc>
          <w:tcPr>
            <w:tcW w:w="2960" w:type="dxa"/>
            <w:vAlign w:val="bottom"/>
            <w:tcBorders>
              <w:bottom w:val="single" w:sz="8" w:color="auto"/>
            </w:tcBorders>
            <w:shd w:val="clear" w:color="auto" w:fill="F1F2F2"/>
          </w:tcPr>
          <w:p>
            <w:pPr>
              <w:ind w:left="100"/>
              <w:spacing w:after="0"/>
              <w:rPr>
                <w:sz w:val="20"/>
                <w:szCs w:val="20"/>
                <w:color w:val="auto"/>
              </w:rPr>
            </w:pPr>
            <w:r>
              <w:rPr>
                <w:rFonts w:ascii="Arial" w:cs="Arial" w:eastAsia="Arial" w:hAnsi="Arial"/>
                <w:sz w:val="14"/>
                <w:szCs w:val="14"/>
                <w:b w:val="1"/>
                <w:bCs w:val="1"/>
                <w:color w:val="auto"/>
              </w:rPr>
              <w:t>Isabelle Winkles</w:t>
            </w:r>
          </w:p>
        </w:tc>
        <w:tc>
          <w:tcPr>
            <w:tcW w:w="2620" w:type="dxa"/>
            <w:vAlign w:val="bottom"/>
            <w:tcBorders>
              <w:bottom w:val="single" w:sz="8" w:color="auto"/>
            </w:tcBorders>
            <w:shd w:val="clear" w:color="auto" w:fill="F1F2F2"/>
          </w:tcPr>
          <w:p>
            <w:pPr>
              <w:jc w:val="center"/>
              <w:ind w:left="1148"/>
              <w:spacing w:after="0"/>
              <w:rPr>
                <w:sz w:val="20"/>
                <w:szCs w:val="20"/>
                <w:color w:val="auto"/>
              </w:rPr>
            </w:pPr>
            <w:r>
              <w:rPr>
                <w:rFonts w:ascii="Arial" w:cs="Arial" w:eastAsia="Arial" w:hAnsi="Arial"/>
                <w:sz w:val="14"/>
                <w:szCs w:val="14"/>
                <w:color w:val="auto"/>
              </w:rPr>
              <w:t>II</w:t>
            </w:r>
          </w:p>
        </w:tc>
        <w:tc>
          <w:tcPr>
            <w:tcW w:w="1140" w:type="dxa"/>
            <w:vAlign w:val="bottom"/>
            <w:tcBorders>
              <w:bottom w:val="single" w:sz="8" w:color="auto"/>
            </w:tcBorders>
            <w:shd w:val="clear" w:color="auto" w:fill="F1F2F2"/>
          </w:tcPr>
          <w:p>
            <w:pPr>
              <w:jc w:val="center"/>
              <w:ind w:left="68"/>
              <w:spacing w:after="0"/>
              <w:rPr>
                <w:sz w:val="20"/>
                <w:szCs w:val="20"/>
                <w:color w:val="auto"/>
              </w:rPr>
            </w:pPr>
            <w:r>
              <w:rPr>
                <w:rFonts w:ascii="Arial" w:cs="Arial" w:eastAsia="Arial" w:hAnsi="Arial"/>
                <w:sz w:val="14"/>
                <w:szCs w:val="14"/>
                <w:color w:val="auto"/>
              </w:rPr>
              <w:t>48</w:t>
            </w:r>
          </w:p>
        </w:tc>
        <w:tc>
          <w:tcPr>
            <w:tcW w:w="2020" w:type="dxa"/>
            <w:vAlign w:val="bottom"/>
            <w:tcBorders>
              <w:bottom w:val="single" w:sz="8" w:color="auto"/>
            </w:tcBorders>
            <w:shd w:val="clear" w:color="auto" w:fill="F1F2F2"/>
          </w:tcPr>
          <w:p>
            <w:pPr>
              <w:jc w:val="center"/>
              <w:ind w:left="68"/>
              <w:spacing w:after="0"/>
              <w:rPr>
                <w:sz w:val="20"/>
                <w:szCs w:val="20"/>
                <w:color w:val="auto"/>
              </w:rPr>
            </w:pPr>
            <w:r>
              <w:rPr>
                <w:rFonts w:ascii="Arial" w:cs="Arial" w:eastAsia="Arial" w:hAnsi="Arial"/>
                <w:sz w:val="14"/>
                <w:szCs w:val="14"/>
                <w:color w:val="auto"/>
              </w:rPr>
              <w:t>2026</w:t>
            </w:r>
          </w:p>
        </w:tc>
        <w:tc>
          <w:tcPr>
            <w:tcW w:w="2500" w:type="dxa"/>
            <w:vAlign w:val="bottom"/>
            <w:tcBorders>
              <w:bottom w:val="single" w:sz="8" w:color="auto"/>
            </w:tcBorders>
            <w:shd w:val="clear" w:color="auto" w:fill="F1F2F2"/>
          </w:tcPr>
          <w:p>
            <w:pPr>
              <w:jc w:val="center"/>
              <w:spacing w:after="0"/>
              <w:rPr>
                <w:sz w:val="20"/>
                <w:szCs w:val="20"/>
                <w:color w:val="auto"/>
              </w:rPr>
            </w:pPr>
            <w:r>
              <w:rPr>
                <w:rFonts w:ascii="Arial" w:cs="Arial" w:eastAsia="Arial" w:hAnsi="Arial"/>
                <w:sz w:val="14"/>
                <w:szCs w:val="14"/>
                <w:color w:val="auto"/>
              </w:rPr>
              <w:t>2029</w:t>
            </w:r>
          </w:p>
        </w:tc>
      </w:tr>
    </w:tbl>
    <w:p>
      <w:pPr>
        <w:spacing w:after="0" w:line="256"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Each nominee was recommended for re-election by the Nominating and Corporate Governance Committee for consideration by the Board and our stockholders. If, before the Annual Meeting, any nominee becomes unable to serve, or chooses not to serve, the Board may nominate a substitute. If that happens, the persons named as proxies on the proxy card will vote for the substitute. Alternatively, the Board may either let the vacancy stay unfilled until an appropriate candidate is identified or reduce the size of the Board to eliminate the unfilled seat.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132320" cy="5403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54038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left="380"/>
        <w:spacing w:after="0"/>
        <w:rPr>
          <w:sz w:val="20"/>
          <w:szCs w:val="20"/>
          <w:color w:val="auto"/>
        </w:rPr>
      </w:pPr>
      <w:r>
        <w:rPr>
          <w:rFonts w:ascii="Arial" w:cs="Arial" w:eastAsia="Arial" w:hAnsi="Arial"/>
          <w:sz w:val="22"/>
          <w:szCs w:val="22"/>
          <w:b w:val="1"/>
          <w:bCs w:val="1"/>
          <w:color w:val="auto"/>
        </w:rPr>
        <w:t xml:space="preserve">The Board recommends that you vote </w:t>
      </w:r>
      <w:r>
        <w:rPr>
          <w:rFonts w:ascii="Arial" w:cs="Arial" w:eastAsia="Arial" w:hAnsi="Arial"/>
          <w:sz w:val="22"/>
          <w:szCs w:val="22"/>
          <w:b w:val="1"/>
          <w:bCs w:val="1"/>
          <w:color w:val="00DC64"/>
        </w:rPr>
        <w:t>“FOR”</w:t>
      </w:r>
      <w:r>
        <w:rPr>
          <w:rFonts w:ascii="Arial" w:cs="Arial" w:eastAsia="Arial" w:hAnsi="Arial"/>
          <w:sz w:val="22"/>
          <w:szCs w:val="22"/>
          <w:b w:val="1"/>
          <w:bCs w:val="1"/>
          <w:color w:val="auto"/>
        </w:rPr>
        <w:t xml:space="preserve"> each of the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723265</wp:posOffset>
            </wp:positionV>
            <wp:extent cx="282575" cy="2743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82575"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320" w:type="dxa"/>
            <w:vAlign w:val="bottom"/>
          </w:tcPr>
          <w:p>
            <w:pPr>
              <w:ind w:left="20"/>
              <w:spacing w:after="0"/>
              <w:rPr>
                <w:sz w:val="20"/>
                <w:szCs w:val="20"/>
                <w:color w:val="auto"/>
              </w:rPr>
            </w:pPr>
            <w:r>
              <w:rPr>
                <w:rFonts w:ascii="Arial" w:cs="Arial" w:eastAsia="Arial" w:hAnsi="Arial"/>
                <w:sz w:val="14"/>
                <w:szCs w:val="14"/>
                <w:b w:val="1"/>
                <w:bCs w:val="1"/>
                <w:color w:val="auto"/>
              </w:rPr>
              <w:t>2026 Proxy Statement</w:t>
            </w:r>
          </w:p>
        </w:tc>
        <w:tc>
          <w:tcPr>
            <w:tcW w:w="4920" w:type="dxa"/>
            <w:vAlign w:val="bottom"/>
          </w:tcPr>
          <w:p>
            <w:pPr>
              <w:jc w:val="right"/>
              <w:spacing w:after="0"/>
              <w:rPr>
                <w:sz w:val="20"/>
                <w:szCs w:val="20"/>
                <w:color w:val="auto"/>
              </w:rPr>
            </w:pPr>
            <w:r>
              <w:rPr>
                <w:rFonts w:ascii="Arial" w:cs="Arial" w:eastAsia="Arial" w:hAnsi="Arial"/>
                <w:sz w:val="14"/>
                <w:szCs w:val="14"/>
                <w:b w:val="1"/>
                <w:bCs w:val="1"/>
                <w:color w:val="auto"/>
              </w:rPr>
              <w:t>9</w:t>
            </w:r>
          </w:p>
        </w:tc>
      </w:tr>
      <w:tr>
        <w:trPr>
          <w:trHeight w:val="360"/>
        </w:trPr>
        <w:tc>
          <w:tcPr>
            <w:tcW w:w="6320" w:type="dxa"/>
            <w:vAlign w:val="bottom"/>
            <w:tcBorders>
              <w:bottom w:val="single" w:sz="8" w:color="9A9A9A"/>
            </w:tcBorders>
          </w:tcPr>
          <w:p>
            <w:pPr>
              <w:spacing w:after="0"/>
              <w:rPr>
                <w:sz w:val="24"/>
                <w:szCs w:val="24"/>
                <w:color w:val="auto"/>
              </w:rPr>
            </w:pPr>
          </w:p>
        </w:tc>
        <w:tc>
          <w:tcPr>
            <w:tcW w:w="4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3" w:name="page14"/>
    <w:bookmarkEnd w:id="13"/>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20"/>
          <w:szCs w:val="20"/>
          <w:b w:val="1"/>
          <w:bCs w:val="1"/>
          <w:color w:val="00DC64"/>
        </w:rPr>
        <w:t>DIRECTOR NOMINEE TO SERVE FOR A THREE-YEAR TERM EXPIRING AT THE 2029 ANNUAL MEETING</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20"/>
        <w:spacing w:after="0"/>
        <w:rPr>
          <w:sz w:val="20"/>
          <w:szCs w:val="20"/>
          <w:color w:val="auto"/>
        </w:rPr>
      </w:pPr>
      <w:r>
        <w:rPr>
          <w:rFonts w:ascii="Arial" w:cs="Arial" w:eastAsia="Arial" w:hAnsi="Arial"/>
          <w:sz w:val="32"/>
          <w:szCs w:val="32"/>
          <w:b w:val="1"/>
          <w:bCs w:val="1"/>
          <w:color w:val="auto"/>
        </w:rPr>
        <w:t>Namsun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-1568450</wp:posOffset>
            </wp:positionV>
            <wp:extent cx="1234440" cy="12344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34440" cy="1234440"/>
                    </a:xfrm>
                    <a:prstGeom prst="rect">
                      <a:avLst/>
                    </a:prstGeom>
                    <a:noFill/>
                  </pic:spPr>
                </pic:pic>
              </a:graphicData>
            </a:graphic>
          </wp:anchor>
        </w:drawing>
      </w:r>
    </w:p>
    <w:p>
      <w:pPr>
        <w:spacing w:after="0" w:line="38" w:lineRule="exact"/>
        <w:rPr>
          <w:sz w:val="20"/>
          <w:szCs w:val="20"/>
          <w:color w:val="auto"/>
        </w:rPr>
      </w:pPr>
    </w:p>
    <w:p>
      <w:pPr>
        <w:ind w:left="20"/>
        <w:spacing w:after="0"/>
        <w:rPr>
          <w:sz w:val="20"/>
          <w:szCs w:val="20"/>
          <w:color w:val="auto"/>
        </w:rPr>
      </w:pPr>
      <w:r>
        <w:rPr>
          <w:rFonts w:ascii="Arial" w:cs="Arial" w:eastAsia="Arial" w:hAnsi="Arial"/>
          <w:sz w:val="32"/>
          <w:szCs w:val="32"/>
          <w:b w:val="1"/>
          <w:bCs w:val="1"/>
          <w:color w:val="auto"/>
        </w:rPr>
        <w:t>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1649730</wp:posOffset>
            </wp:positionV>
            <wp:extent cx="1234440" cy="12344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34440" cy="12344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b w:val="1"/>
          <w:bCs w:val="1"/>
          <w:color w:val="auto"/>
        </w:rPr>
        <w:t xml:space="preserve">Namsun Kim </w:t>
      </w:r>
      <w:r>
        <w:rPr>
          <w:rFonts w:ascii="Arial" w:cs="Arial" w:eastAsia="Arial" w:hAnsi="Arial"/>
          <w:sz w:val="16"/>
          <w:szCs w:val="16"/>
          <w:color w:val="auto"/>
        </w:rPr>
        <w:t>has served as a member of our Board since May 2024. Mr. Kim has served as President of</w:t>
      </w:r>
      <w:r>
        <w:rPr>
          <w:rFonts w:ascii="Arial" w:cs="Arial" w:eastAsia="Arial" w:hAnsi="Arial"/>
          <w:sz w:val="16"/>
          <w:szCs w:val="16"/>
          <w:b w:val="1"/>
          <w:bCs w:val="1"/>
          <w:color w:val="auto"/>
        </w:rPr>
        <w:t xml:space="preserve"> </w:t>
      </w:r>
      <w:r>
        <w:rPr>
          <w:rFonts w:ascii="Arial" w:cs="Arial" w:eastAsia="Arial" w:hAnsi="Arial"/>
          <w:sz w:val="16"/>
          <w:szCs w:val="16"/>
          <w:color w:val="auto"/>
        </w:rPr>
        <w:t>Investments of NAVER since April 2025, where he oversees global strategic investments, including M&amp;A and a refocused global venture capital investment program. Mr. Kim has also served as the Executive Chairman of Poshmark Inc., a subsidiary of NAVER, since April 2025, overseeing the business operations and strategic decision-making. Since October 2025, Mr. Kim has also served as the Chief Executive Officer of Poshmark Inc. Previously, Mr. Kim served as NAVER’s Chief Financial Officer from March 2022 to March 2025, during which time he oversaw corporate and business development, M&amp;A and global growth initiatives. Prior to his role as Chief Financial Officer, Mr. Kim joined NAVER in 2020 as Vice President of corporate development and M&amp;A. He also led the finance function for the Company including as our Chief Financial Officer from March 2022 to October 2023. Prior to joining NAVER, Mr. Kim led Private Equity Investments in Korea at Macquarie Group from April 2017 to July 2020, during which time he served on the boards of ADT Korea (c/k/a SK Shieldus, a leading security and dispatch provider) and LG CNS (a leading IT services provider and LG Group affiliate). Between 2012 and 2017, Mr. Kim held several investment banking positions at Morgan Stanley and Lazard across New York, Hong Kong and Seoul. Earlier in his career, Mr. Kim was a corporate attorney at Cravath, Swaine &amp; Moore LLP. Mr. Kim received a Bachelor of Science degree in Materials Science &amp; Engineering from Seoul National University and a Juris Doctor degree from Harvard Law School.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208280</wp:posOffset>
            </wp:positionV>
            <wp:extent cx="5280660" cy="6343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280660" cy="63436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240" w:right="740"/>
        <w:spacing w:after="0" w:line="332" w:lineRule="auto"/>
        <w:rPr>
          <w:sz w:val="20"/>
          <w:szCs w:val="20"/>
          <w:color w:val="auto"/>
        </w:rPr>
      </w:pPr>
      <w:r>
        <w:rPr>
          <w:rFonts w:ascii="Arial" w:cs="Arial" w:eastAsia="Arial" w:hAnsi="Arial"/>
          <w:sz w:val="16"/>
          <w:szCs w:val="16"/>
          <w:b w:val="1"/>
          <w:bCs w:val="1"/>
          <w:color w:val="auto"/>
        </w:rPr>
        <w:t>We believe Mr. Kim is qualified to serve on our Board based on his knowledge of our Company, global business experience, financial expertise and experience serving on corporate boards.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b w:val="1"/>
          <w:bCs w:val="1"/>
          <w:color w:val="auto"/>
        </w:rPr>
        <w:t xml:space="preserve">Jun Masuda </w:t>
      </w:r>
      <w:r>
        <w:rPr>
          <w:rFonts w:ascii="Arial" w:cs="Arial" w:eastAsia="Arial" w:hAnsi="Arial"/>
          <w:sz w:val="16"/>
          <w:szCs w:val="16"/>
          <w:color w:val="auto"/>
        </w:rPr>
        <w:t>has been a member of our Board since October 2020. Mr. Masuda has also served as a member of</w:t>
      </w:r>
      <w:r>
        <w:rPr>
          <w:rFonts w:ascii="Arial" w:cs="Arial" w:eastAsia="Arial" w:hAnsi="Arial"/>
          <w:sz w:val="16"/>
          <w:szCs w:val="16"/>
          <w:b w:val="1"/>
          <w:bCs w:val="1"/>
          <w:color w:val="auto"/>
        </w:rPr>
        <w:t xml:space="preserve"> </w:t>
      </w:r>
      <w:r>
        <w:rPr>
          <w:rFonts w:ascii="Arial" w:cs="Arial" w:eastAsia="Arial" w:hAnsi="Arial"/>
          <w:sz w:val="16"/>
          <w:szCs w:val="16"/>
          <w:color w:val="auto"/>
        </w:rPr>
        <w:t>the board of directors of LINE Digital Frontier Corporation (“LDF”), our subsidiary, since August 2020, Executive Corporate Officer at LY Corporation since October 2023, Domain Lead of Content &amp; Membership Domain at LY Corporation since October 2025, succeeding his role as Entertainment Company CEO from October 2023 to September 2025, and Representative Director of LINE MUSIC Corporation since December 2014. Previously, Mr. Masuda served as President and Representative Director, Chief Product Officer of Z Entertainment Corporation, formerly a subsidiary of Z Holdings Corporation (“Z Holdings”), between April 2021 and September 2023 and Director and Senior Managing Corporate Officer of Z Holdings between March 2021 to September 2023.</w:t>
      </w:r>
    </w:p>
    <w:p>
      <w:pPr>
        <w:spacing w:after="0" w:line="200" w:lineRule="exact"/>
        <w:rPr>
          <w:sz w:val="20"/>
          <w:szCs w:val="20"/>
          <w:color w:val="auto"/>
        </w:rPr>
      </w:pPr>
    </w:p>
    <w:p>
      <w:pPr>
        <w:sectPr>
          <w:pgSz w:w="11900" w:h="16838" w:orient="portrait"/>
          <w:cols w:equalWidth="0" w:num="2">
            <w:col w:w="2220" w:space="720"/>
            <w:col w:w="8300"/>
          </w:cols>
          <w:pgMar w:left="320" w:top="130" w:right="339" w:bottom="1440" w:gutter="0" w:footer="0" w:header="0"/>
          <w:type w:val="continuous"/>
        </w:sectPr>
      </w:pPr>
    </w:p>
    <w:p>
      <w:pPr>
        <w:spacing w:after="0" w:line="65" w:lineRule="exact"/>
        <w:rPr>
          <w:sz w:val="20"/>
          <w:szCs w:val="20"/>
          <w:color w:val="auto"/>
        </w:rPr>
      </w:pPr>
    </w:p>
    <w:p>
      <w:pPr>
        <w:ind w:left="20"/>
        <w:spacing w:after="0"/>
        <w:rPr>
          <w:sz w:val="20"/>
          <w:szCs w:val="20"/>
          <w:color w:val="auto"/>
        </w:rPr>
      </w:pPr>
      <w:r>
        <w:rPr>
          <w:rFonts w:ascii="Arial" w:cs="Arial" w:eastAsia="Arial" w:hAnsi="Arial"/>
          <w:sz w:val="32"/>
          <w:szCs w:val="32"/>
          <w:b w:val="1"/>
          <w:bCs w:val="1"/>
          <w:color w:val="auto"/>
        </w:rPr>
        <w:t>Jun</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32"/>
          <w:szCs w:val="32"/>
          <w:b w:val="1"/>
          <w:bCs w:val="1"/>
          <w:color w:val="auto"/>
        </w:rPr>
        <w:t>Masuda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ind w:right="920"/>
        <w:spacing w:after="0" w:line="349" w:lineRule="auto"/>
        <w:rPr>
          <w:sz w:val="20"/>
          <w:szCs w:val="20"/>
          <w:color w:val="auto"/>
        </w:rPr>
      </w:pPr>
      <w:r>
        <w:rPr>
          <w:rFonts w:ascii="Arial" w:cs="Arial" w:eastAsia="Arial" w:hAnsi="Arial"/>
          <w:sz w:val="16"/>
          <w:szCs w:val="16"/>
          <w:b w:val="1"/>
          <w:bCs w:val="1"/>
          <w:color w:val="auto"/>
        </w:rPr>
        <w:t>We believe that Mr. Masuda is qualified to serve on our Board based on his knowledge of our Company and leadership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-458470</wp:posOffset>
            </wp:positionV>
            <wp:extent cx="5280660" cy="6343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280660" cy="63436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60" w:space="720"/>
            <w:col w:w="8060"/>
          </w:cols>
          <w:pgMar w:left="320" w:top="13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0"/>
        <w:spacing w:after="0"/>
        <w:tabs>
          <w:tab w:leader="none" w:pos="5360" w:val="left"/>
        </w:tabs>
        <w:rPr>
          <w:sz w:val="20"/>
          <w:szCs w:val="20"/>
          <w:color w:val="auto"/>
        </w:rPr>
      </w:pPr>
      <w:r>
        <w:rPr>
          <w:rFonts w:ascii="Arial" w:cs="Arial" w:eastAsia="Arial" w:hAnsi="Arial"/>
          <w:sz w:val="14"/>
          <w:szCs w:val="14"/>
          <w:b w:val="1"/>
          <w:bCs w:val="1"/>
          <w:color w:val="auto"/>
        </w:rPr>
        <w:t>10</w:t>
      </w:r>
      <w:r>
        <w:rPr>
          <w:sz w:val="20"/>
          <w:szCs w:val="20"/>
          <w:color w:val="auto"/>
        </w:rPr>
        <w:tab/>
      </w:r>
      <w:r>
        <w:rPr>
          <w:sz w:val="1"/>
          <w:szCs w:val="1"/>
          <w:color w:val="auto"/>
        </w:rPr>
        <w:drawing>
          <wp:inline distT="0" distB="0" distL="0" distR="0">
            <wp:extent cx="282575" cy="274320"/>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82575" cy="274320"/>
                    </a:xfrm>
                    <a:prstGeom prst="rect">
                      <a:avLst/>
                    </a:prstGeom>
                    <a:noFill/>
                    <a:ln>
                      <a:noFill/>
                    </a:ln>
                  </pic:spPr>
                </pic:pic>
              </a:graphicData>
            </a:graphic>
          </wp:inline>
        </w:drawing>
      </w:r>
      <w:r>
        <w:rPr>
          <w:rFonts w:ascii="Arial" w:cs="Arial" w:eastAsia="Arial" w:hAnsi="Arial"/>
          <w:sz w:val="14"/>
          <w:szCs w:val="14"/>
          <w:b w:val="1"/>
          <w:bCs w:val="1"/>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4" w:name="page15"/>
    <w:bookmarkEnd w:id="14"/>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2940" w:right="60"/>
        <w:spacing w:after="0" w:line="302" w:lineRule="auto"/>
        <w:rPr>
          <w:sz w:val="20"/>
          <w:szCs w:val="20"/>
          <w:color w:val="auto"/>
        </w:rPr>
      </w:pPr>
      <w:r>
        <w:rPr>
          <w:rFonts w:ascii="Arial" w:cs="Arial" w:eastAsia="Arial" w:hAnsi="Arial"/>
          <w:sz w:val="16"/>
          <w:szCs w:val="16"/>
          <w:b w:val="1"/>
          <w:bCs w:val="1"/>
          <w:color w:val="auto"/>
        </w:rPr>
        <w:t xml:space="preserve">Isabelle Winkles </w:t>
      </w:r>
      <w:r>
        <w:rPr>
          <w:rFonts w:ascii="Arial" w:cs="Arial" w:eastAsia="Arial" w:hAnsi="Arial"/>
          <w:sz w:val="16"/>
          <w:szCs w:val="16"/>
          <w:color w:val="auto"/>
        </w:rPr>
        <w:t>has been a member of our Board since April 2024 and has been the Chief Financial Officer of</w:t>
      </w:r>
      <w:r>
        <w:rPr>
          <w:rFonts w:ascii="Arial" w:cs="Arial" w:eastAsia="Arial" w:hAnsi="Arial"/>
          <w:sz w:val="16"/>
          <w:szCs w:val="16"/>
          <w:b w:val="1"/>
          <w:bCs w:val="1"/>
          <w:color w:val="auto"/>
        </w:rPr>
        <w:t xml:space="preserve"> </w:t>
      </w:r>
      <w:r>
        <w:rPr>
          <w:rFonts w:ascii="Arial" w:cs="Arial" w:eastAsia="Arial" w:hAnsi="Arial"/>
          <w:sz w:val="16"/>
          <w:szCs w:val="16"/>
          <w:color w:val="auto"/>
        </w:rPr>
        <w:t>Braze, Inc., a publicly traded platform technology company, since January 2020. Previously, Ms. Winkles was the Vice President, Finance and Chief of Staff to the Chief Financial Officer of Cognizant Technologies Solutions Corp., a professional services company, from April 2018 to January 2020. Ms. Winkles also served in various roles at Morgan Stanley &amp; Co. from July 2000 to April 2018, including as Managing Director from January 2016 to April 2018. During her tenure at Morgan Stanley &amp; Co., Ms. Winkles held a number of operating roles including Head of Financial Planning &amp; Analysis and Treasurer to some of the largest legal entities. Ms. Winkles received her M.B.A. from Harvard University and her B.S. from the Massachusetts Institute of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-1175385</wp:posOffset>
            </wp:positionV>
            <wp:extent cx="1234440" cy="12344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34440" cy="123444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p>
      <w:pPr>
        <w:spacing w:after="0" w:line="265" w:lineRule="exact"/>
        <w:rPr>
          <w:sz w:val="20"/>
          <w:szCs w:val="20"/>
          <w:color w:val="auto"/>
        </w:rPr>
      </w:pPr>
    </w:p>
    <w:p>
      <w:pPr>
        <w:ind w:left="20"/>
        <w:spacing w:after="0"/>
        <w:rPr>
          <w:sz w:val="20"/>
          <w:szCs w:val="20"/>
          <w:color w:val="auto"/>
        </w:rPr>
      </w:pPr>
      <w:r>
        <w:rPr>
          <w:rFonts w:ascii="Arial" w:cs="Arial" w:eastAsia="Arial" w:hAnsi="Arial"/>
          <w:sz w:val="32"/>
          <w:szCs w:val="32"/>
          <w:b w:val="1"/>
          <w:bCs w:val="1"/>
          <w:color w:val="auto"/>
        </w:rPr>
        <w:t>Isabelle</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32"/>
          <w:szCs w:val="32"/>
          <w:b w:val="1"/>
          <w:bCs w:val="1"/>
          <w:color w:val="auto"/>
        </w:rPr>
        <w:t>Winkles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380"/>
        <w:spacing w:after="0" w:line="349" w:lineRule="auto"/>
        <w:rPr>
          <w:sz w:val="20"/>
          <w:szCs w:val="20"/>
          <w:color w:val="auto"/>
        </w:rPr>
      </w:pPr>
      <w:r>
        <w:rPr>
          <w:rFonts w:ascii="Arial" w:cs="Arial" w:eastAsia="Arial" w:hAnsi="Arial"/>
          <w:sz w:val="16"/>
          <w:szCs w:val="16"/>
          <w:b w:val="1"/>
          <w:bCs w:val="1"/>
          <w:color w:val="auto"/>
        </w:rPr>
        <w:t>We believe that Ms. Winkles is qualified to serve on our Board based on her extensive experience in large scale strategic cross functional initiatives.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-458470</wp:posOffset>
            </wp:positionV>
            <wp:extent cx="5280660" cy="6343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280660" cy="63436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60" w:space="720"/>
            <w:col w:w="8060"/>
          </w:cols>
          <w:pgMar w:left="320" w:top="130" w:right="339" w:bottom="1440" w:gutter="0" w:footer="0" w:header="0"/>
          <w:type w:val="continuous"/>
        </w:sect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20"/>
          <w:szCs w:val="20"/>
          <w:b w:val="1"/>
          <w:bCs w:val="1"/>
          <w:color w:val="00DC64"/>
        </w:rPr>
        <w:t>CONTINUING DIRECTORS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Class III Directors (Terms expiring at the 2027 annual meeting)</w:t>
      </w:r>
    </w:p>
    <w:p>
      <w:pPr>
        <w:spacing w:after="0" w:line="208" w:lineRule="exact"/>
        <w:rPr>
          <w:sz w:val="20"/>
          <w:szCs w:val="20"/>
          <w:color w:val="auto"/>
        </w:rPr>
      </w:pPr>
    </w:p>
    <w:p>
      <w:pPr>
        <w:ind w:left="2940" w:right="60"/>
        <w:spacing w:after="0" w:line="303" w:lineRule="auto"/>
        <w:rPr>
          <w:sz w:val="20"/>
          <w:szCs w:val="20"/>
          <w:color w:val="auto"/>
        </w:rPr>
      </w:pPr>
      <w:r>
        <w:rPr>
          <w:rFonts w:ascii="Arial" w:cs="Arial" w:eastAsia="Arial" w:hAnsi="Arial"/>
          <w:sz w:val="16"/>
          <w:szCs w:val="16"/>
          <w:b w:val="1"/>
          <w:bCs w:val="1"/>
          <w:color w:val="auto"/>
        </w:rPr>
        <w:t xml:space="preserve">Junkoo Kim </w:t>
      </w:r>
      <w:r>
        <w:rPr>
          <w:rFonts w:ascii="Arial" w:cs="Arial" w:eastAsia="Arial" w:hAnsi="Arial"/>
          <w:sz w:val="16"/>
          <w:szCs w:val="16"/>
          <w:color w:val="auto"/>
        </w:rPr>
        <w:t>is the founder of our Company and has served as a member of our Board and Chief Executive Officer</w:t>
      </w:r>
      <w:r>
        <w:rPr>
          <w:rFonts w:ascii="Arial" w:cs="Arial" w:eastAsia="Arial" w:hAnsi="Arial"/>
          <w:sz w:val="16"/>
          <w:szCs w:val="16"/>
          <w:b w:val="1"/>
          <w:bCs w:val="1"/>
          <w:color w:val="auto"/>
        </w:rPr>
        <w:t xml:space="preserve"> </w:t>
      </w:r>
      <w:r>
        <w:rPr>
          <w:rFonts w:ascii="Arial" w:cs="Arial" w:eastAsia="Arial" w:hAnsi="Arial"/>
          <w:sz w:val="16"/>
          <w:szCs w:val="16"/>
          <w:color w:val="auto"/>
        </w:rPr>
        <w:t>since September 2016. Mr. Kim is the Chairman of our Board. Mr. Kim also serves as the Chief Executive Officer of NAVER WEBTOON Ltd. (“NAVER WEBTOON”), our wholly-owned subsidiary in Korea, since May 2017. Mr. Kim joined NAVER (then known as Search Solution Corp.) as a developer in 2004 and has over 19 years of experience in comics or digital content. Mr. Kim received his Bachelor of Science in Applied Chemistry from Seoul National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-883920</wp:posOffset>
            </wp:positionV>
            <wp:extent cx="7123430" cy="17487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23430" cy="174879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20"/>
        <w:spacing w:after="0"/>
        <w:rPr>
          <w:sz w:val="20"/>
          <w:szCs w:val="20"/>
          <w:color w:val="auto"/>
        </w:rPr>
      </w:pPr>
      <w:r>
        <w:rPr>
          <w:rFonts w:ascii="Arial" w:cs="Arial" w:eastAsia="Arial" w:hAnsi="Arial"/>
          <w:sz w:val="32"/>
          <w:szCs w:val="32"/>
          <w:b w:val="1"/>
          <w:bCs w:val="1"/>
          <w:color w:val="auto"/>
        </w:rPr>
        <w:t>Junkoo</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32"/>
          <w:szCs w:val="32"/>
          <w:b w:val="1"/>
          <w:bCs w:val="1"/>
          <w:color w:val="auto"/>
        </w:rPr>
        <w:t>Kim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0" w:lineRule="exact"/>
        <w:rPr>
          <w:sz w:val="20"/>
          <w:szCs w:val="20"/>
          <w:color w:val="auto"/>
        </w:rPr>
      </w:pPr>
    </w:p>
    <w:p>
      <w:pPr>
        <w:ind w:right="700"/>
        <w:spacing w:after="0" w:line="349" w:lineRule="auto"/>
        <w:rPr>
          <w:sz w:val="20"/>
          <w:szCs w:val="20"/>
          <w:color w:val="auto"/>
        </w:rPr>
      </w:pPr>
      <w:r>
        <w:rPr>
          <w:rFonts w:ascii="Arial" w:cs="Arial" w:eastAsia="Arial" w:hAnsi="Arial"/>
          <w:sz w:val="16"/>
          <w:szCs w:val="16"/>
          <w:b w:val="1"/>
          <w:bCs w:val="1"/>
          <w:color w:val="auto"/>
        </w:rPr>
        <w:t>We believe that Mr. Kim’s extensive leadership experience, skills and background qualify him to serve as a member of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1397635</wp:posOffset>
            </wp:positionH>
            <wp:positionV relativeFrom="paragraph">
              <wp:posOffset>869315</wp:posOffset>
            </wp:positionV>
            <wp:extent cx="282575" cy="2743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82575" cy="274320"/>
                    </a:xfrm>
                    <a:prstGeom prst="rect">
                      <a:avLst/>
                    </a:prstGeom>
                    <a:noFill/>
                  </pic:spPr>
                </pic:pic>
              </a:graphicData>
            </a:graphic>
          </wp:anchor>
        </w:drawing>
      </w:r>
    </w:p>
    <w:p>
      <w:pPr>
        <w:spacing w:after="0" w:line="617" w:lineRule="exact"/>
        <w:rPr>
          <w:sz w:val="20"/>
          <w:szCs w:val="20"/>
          <w:color w:val="auto"/>
        </w:rPr>
      </w:pPr>
    </w:p>
    <w:p>
      <w:pPr>
        <w:sectPr>
          <w:pgSz w:w="11900" w:h="16838" w:orient="portrait"/>
          <w:cols w:equalWidth="0" w:num="2">
            <w:col w:w="2460" w:space="720"/>
            <w:col w:w="8060"/>
          </w:cols>
          <w:pgMar w:left="320" w:top="13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280" w:type="dxa"/>
            <w:vAlign w:val="bottom"/>
          </w:tcPr>
          <w:p>
            <w:pPr>
              <w:ind w:left="20"/>
              <w:spacing w:after="0"/>
              <w:rPr>
                <w:sz w:val="20"/>
                <w:szCs w:val="20"/>
                <w:color w:val="auto"/>
              </w:rPr>
            </w:pPr>
            <w:r>
              <w:rPr>
                <w:rFonts w:ascii="Arial" w:cs="Arial" w:eastAsia="Arial" w:hAnsi="Arial"/>
                <w:sz w:val="14"/>
                <w:szCs w:val="14"/>
                <w:b w:val="1"/>
                <w:bCs w:val="1"/>
                <w:color w:val="auto"/>
              </w:rPr>
              <w:t>2026 Proxy Statement</w:t>
            </w:r>
          </w:p>
        </w:tc>
        <w:tc>
          <w:tcPr>
            <w:tcW w:w="4960" w:type="dxa"/>
            <w:vAlign w:val="bottom"/>
          </w:tcPr>
          <w:p>
            <w:pPr>
              <w:jc w:val="right"/>
              <w:spacing w:after="0"/>
              <w:rPr>
                <w:sz w:val="20"/>
                <w:szCs w:val="20"/>
                <w:color w:val="auto"/>
              </w:rPr>
            </w:pPr>
            <w:r>
              <w:rPr>
                <w:rFonts w:ascii="Arial" w:cs="Arial" w:eastAsia="Arial" w:hAnsi="Arial"/>
                <w:sz w:val="14"/>
                <w:szCs w:val="14"/>
                <w:b w:val="1"/>
                <w:bCs w:val="1"/>
                <w:color w:val="auto"/>
              </w:rPr>
              <w:t>11</w:t>
            </w:r>
          </w:p>
        </w:tc>
      </w:tr>
      <w:tr>
        <w:trPr>
          <w:trHeight w:val="373"/>
        </w:trPr>
        <w:tc>
          <w:tcPr>
            <w:tcW w:w="6280" w:type="dxa"/>
            <w:vAlign w:val="bottom"/>
            <w:tcBorders>
              <w:bottom w:val="single" w:sz="8" w:color="9A9A9A"/>
            </w:tcBorders>
          </w:tcPr>
          <w:p>
            <w:pPr>
              <w:spacing w:after="0"/>
              <w:rPr>
                <w:sz w:val="24"/>
                <w:szCs w:val="24"/>
                <w:color w:val="auto"/>
              </w:rPr>
            </w:pPr>
          </w:p>
        </w:tc>
        <w:tc>
          <w:tcPr>
            <w:tcW w:w="4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946150</wp:posOffset>
            </wp:positionV>
            <wp:extent cx="1234440" cy="12344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clrChange>
                        <a:clrFrom>
                          <a:srgbClr val="FFFFFF"/>
                        </a:clrFrom>
                        <a:clrTo>
                          <a:srgbClr val="FFFFFF">
                            <a:alpha val="0"/>
                          </a:srgbClr>
                        </a:clrTo>
                      </a:clrChange>
                      <a:extLst>
                        <a:ext uri="{28A0092B-C50C-407E-A947-70E740481C1C}"/>
                      </a:extLst>
                    </a:blip>
                    <a:srcRect/>
                    <a:stretch>
                      <a:fillRect/>
                    </a:stretch>
                  </pic:blipFill>
                  <pic:spPr bwMode="auto">
                    <a:xfrm>
                      <a:off x="0" y="0"/>
                      <a:ext cx="1234440" cy="1234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David J.</w:t>
      </w:r>
    </w:p>
    <w:p>
      <w:pPr>
        <w:spacing w:after="0" w:line="44"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Lee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12</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b w:val="1"/>
          <w:bCs w:val="1"/>
          <w:color w:val="auto"/>
        </w:rPr>
        <w:t xml:space="preserve">David J. Lee </w:t>
      </w:r>
      <w:r>
        <w:rPr>
          <w:rFonts w:ascii="Arial" w:cs="Arial" w:eastAsia="Arial" w:hAnsi="Arial"/>
          <w:sz w:val="16"/>
          <w:szCs w:val="16"/>
          <w:color w:val="auto"/>
        </w:rPr>
        <w:t>joined our Company as Chief Financial Officer and Chief Operating Officer in November 2023, is</w:t>
      </w:r>
      <w:r>
        <w:rPr>
          <w:rFonts w:ascii="Arial" w:cs="Arial" w:eastAsia="Arial" w:hAnsi="Arial"/>
          <w:sz w:val="16"/>
          <w:szCs w:val="16"/>
          <w:b w:val="1"/>
          <w:bCs w:val="1"/>
          <w:color w:val="auto"/>
        </w:rPr>
        <w:t xml:space="preserve"> </w:t>
      </w:r>
      <w:r>
        <w:rPr>
          <w:rFonts w:ascii="Arial" w:cs="Arial" w:eastAsia="Arial" w:hAnsi="Arial"/>
          <w:sz w:val="16"/>
          <w:szCs w:val="16"/>
          <w:color w:val="auto"/>
        </w:rPr>
        <w:t>currently serving as Chief Financial Officer and President of Wattpad Corp. since April 2026, and oversees global corporate, financial and operations teams of the Company and two of our wholly-owned subsidiaries, Wattpad Corp. and WBTN Canada Corp. Mr. Lee has been a member of our Board since April 2024. Mr. Lee has over two decades of experience across retail and consumer industries driving business transformation, supply chain optimization, operations and finance. Mr. Lee previously served as (i) President of AppHarvest, Inc., a leading AgTech and sustainable food company building some of the country’s largest indoor farms, leveraging cutting-edge technology, from January 2021 to November 2022 and thereafter served on its board through November 2022, (ii) the Chief Financial Officer and Chief Operating Officer of Impossible Foods Inc. from December 2015 to January 2021 and from December 2015 to March 2019, respectively, where he led the business functions to transform it from a pre-revenue to hyper-growth company with global sales and a comprehensive commercial manufacturing and supply chain capability, and (iii) Chief Financial Officer at Zynga Inc. from April 2014 to December 2015 and was responsible for leading the finance and corporate development teams. Mr. Lee also served as Senior Vice President of Corporate Finance and Strategy for Best Buy Co. Inc. from December 2012 to April 2014, and as Senior Vice President of Consumer Products along with various other roles at Del Monte Foods Inc. from February 2004 to December 2012, where he ran the global food business. Earlier in his career, Mr. Lee (i) worked at Leo Burnett Worldwide, Inc., an advertising company, (ii) helped turn around PG&amp;E during the California Energy Crisis as Director of Strategic Planning, (iii) served as strategy consultant at McKinsey &amp; Company, and (iv) spent time in venture capital investing at EPVC. Mr. Lee has also been serving as founder and board chair of Inevitable Tech, Inc., a private company pioneering technology and plant science, since December 2022 and was its CEO from December 2022 to October 2023. Mr. Lee also has served on the board of directors for Zevia PBC, a public growth beverage company, and Benson Hill, Inc., a publicly traded food technology company, from July 2022 and from January 2021, respectively. Mr. Lee is also a Fellow at the Council of Korean Americans and the Network of Korean American Leaders. Mr. Lee received a Bachelor of Arts in Government from Harvard College and a Master of Business Administration from the University of Chicago.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209550</wp:posOffset>
            </wp:positionV>
            <wp:extent cx="5288915" cy="9175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288915" cy="91757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260" w:right="400"/>
        <w:spacing w:after="0" w:line="310" w:lineRule="auto"/>
        <w:rPr>
          <w:sz w:val="20"/>
          <w:szCs w:val="20"/>
          <w:color w:val="auto"/>
        </w:rPr>
      </w:pPr>
      <w:r>
        <w:rPr>
          <w:rFonts w:ascii="Arial" w:cs="Arial" w:eastAsia="Arial" w:hAnsi="Arial"/>
          <w:sz w:val="16"/>
          <w:szCs w:val="16"/>
          <w:b w:val="1"/>
          <w:bCs w:val="1"/>
          <w:color w:val="auto"/>
        </w:rPr>
        <w:t>We believe that Mr. Lee is qualified to serve as a member of our Board, given his extensive experience in the consumer-packaged goods industry, operations and supply chain management, business transformation, financial expertise, including serving as chief financial officer, strategy development, ESG matters, and governance experience, as well as his leadership on public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1562735</wp:posOffset>
            </wp:positionH>
            <wp:positionV relativeFrom="paragraph">
              <wp:posOffset>716915</wp:posOffset>
            </wp:positionV>
            <wp:extent cx="282575" cy="2743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82575"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780"/>
        <w:spacing w:after="0"/>
        <w:rPr>
          <w:sz w:val="20"/>
          <w:szCs w:val="20"/>
          <w:color w:val="auto"/>
        </w:rPr>
      </w:pPr>
      <w:r>
        <w:rPr>
          <w:rFonts w:ascii="Arial" w:cs="Arial" w:eastAsia="Arial" w:hAnsi="Arial"/>
          <w:sz w:val="14"/>
          <w:szCs w:val="14"/>
          <w:b w:val="1"/>
          <w:b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-1861185</wp:posOffset>
            </wp:positionH>
            <wp:positionV relativeFrom="paragraph">
              <wp:posOffset>242570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2180" w:space="720"/>
            <w:col w:w="8320"/>
          </w:cols>
          <w:pgMar w:left="340" w:top="130" w:right="339" w:bottom="1440" w:gutter="0" w:footer="0" w:header="0"/>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946150</wp:posOffset>
            </wp:positionV>
            <wp:extent cx="1234440" cy="12344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clrChange>
                        <a:clrFrom>
                          <a:srgbClr val="FFFFFF"/>
                        </a:clrFrom>
                        <a:clrTo>
                          <a:srgbClr val="FFFFFF">
                            <a:alpha val="0"/>
                          </a:srgbClr>
                        </a:clrTo>
                      </a:clrChange>
                      <a:extLst>
                        <a:ext uri="{28A0092B-C50C-407E-A947-70E740481C1C}"/>
                      </a:extLst>
                    </a:blip>
                    <a:srcRect/>
                    <a:stretch>
                      <a:fillRect/>
                    </a:stretch>
                  </pic:blipFill>
                  <pic:spPr bwMode="auto">
                    <a:xfrm>
                      <a:off x="0" y="0"/>
                      <a:ext cx="1234440" cy="1234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Haejin</w:t>
      </w:r>
    </w:p>
    <w:p>
      <w:pPr>
        <w:spacing w:after="0" w:line="44"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578485</wp:posOffset>
            </wp:positionV>
            <wp:extent cx="1234440" cy="12255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34440" cy="1225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Saeju Jeong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2026 Proxy Statement</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20" w:right="80"/>
        <w:spacing w:after="0" w:line="303" w:lineRule="auto"/>
        <w:rPr>
          <w:sz w:val="20"/>
          <w:szCs w:val="20"/>
          <w:color w:val="auto"/>
        </w:rPr>
      </w:pPr>
      <w:r>
        <w:rPr>
          <w:rFonts w:ascii="Arial" w:cs="Arial" w:eastAsia="Arial" w:hAnsi="Arial"/>
          <w:sz w:val="16"/>
          <w:szCs w:val="16"/>
          <w:b w:val="1"/>
          <w:bCs w:val="1"/>
          <w:color w:val="auto"/>
        </w:rPr>
        <w:t xml:space="preserve">Haejin Lee </w:t>
      </w:r>
      <w:r>
        <w:rPr>
          <w:rFonts w:ascii="Arial" w:cs="Arial" w:eastAsia="Arial" w:hAnsi="Arial"/>
          <w:sz w:val="16"/>
          <w:szCs w:val="16"/>
          <w:color w:val="auto"/>
        </w:rPr>
        <w:t>has served as a member of our Board since October 2020. Mr. Lee also served as the Global</w:t>
      </w:r>
      <w:r>
        <w:rPr>
          <w:rFonts w:ascii="Arial" w:cs="Arial" w:eastAsia="Arial" w:hAnsi="Arial"/>
          <w:sz w:val="16"/>
          <w:szCs w:val="16"/>
          <w:b w:val="1"/>
          <w:bCs w:val="1"/>
          <w:color w:val="auto"/>
        </w:rPr>
        <w:t xml:space="preserve"> </w:t>
      </w:r>
      <w:r>
        <w:rPr>
          <w:rFonts w:ascii="Arial" w:cs="Arial" w:eastAsia="Arial" w:hAnsi="Arial"/>
          <w:sz w:val="16"/>
          <w:szCs w:val="16"/>
          <w:color w:val="auto"/>
        </w:rPr>
        <w:t>Investment Officer of NAVER from March 2017 until March 2025. Mr. Lee co-founded NAVER in June 1999, served as chair of the board of NAVER from January 2004 until March 2017 and resumed his service as chair of the board again in March 2025. Prior to co-founding NAVER, from February 1992 to June 1999, Mr. Lee served in several roles at Samsung SDS Co., Ltd., an information technology services provider. Mr. Lee received a Bachelor of Science degree in computer science from Seoul National University and a Master of Science in computer science from Korea Advanced Institute of Science and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356870</wp:posOffset>
            </wp:positionV>
            <wp:extent cx="5280660" cy="6343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280660"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60" w:right="400"/>
        <w:spacing w:after="0" w:line="349" w:lineRule="auto"/>
        <w:rPr>
          <w:sz w:val="20"/>
          <w:szCs w:val="20"/>
          <w:color w:val="auto"/>
        </w:rPr>
      </w:pPr>
      <w:r>
        <w:rPr>
          <w:rFonts w:ascii="Arial" w:cs="Arial" w:eastAsia="Arial" w:hAnsi="Arial"/>
          <w:sz w:val="16"/>
          <w:szCs w:val="16"/>
          <w:b w:val="1"/>
          <w:bCs w:val="1"/>
          <w:color w:val="auto"/>
        </w:rPr>
        <w:t>We believe that Mr. Lee is qualified to serve on our Board based on his extensive industry expertise and leadership experience.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b w:val="1"/>
          <w:bCs w:val="1"/>
          <w:color w:val="auto"/>
        </w:rPr>
        <w:t xml:space="preserve">Saeju Jeong </w:t>
      </w:r>
      <w:r>
        <w:rPr>
          <w:rFonts w:ascii="Arial" w:cs="Arial" w:eastAsia="Arial" w:hAnsi="Arial"/>
          <w:sz w:val="16"/>
          <w:szCs w:val="16"/>
          <w:color w:val="auto"/>
        </w:rPr>
        <w:t>has served as a member of our Board since June 2025. Mr. Jeong has served as the Executive</w:t>
      </w:r>
      <w:r>
        <w:rPr>
          <w:rFonts w:ascii="Arial" w:cs="Arial" w:eastAsia="Arial" w:hAnsi="Arial"/>
          <w:sz w:val="16"/>
          <w:szCs w:val="16"/>
          <w:b w:val="1"/>
          <w:bCs w:val="1"/>
          <w:color w:val="auto"/>
        </w:rPr>
        <w:t xml:space="preserve"> </w:t>
      </w:r>
      <w:r>
        <w:rPr>
          <w:rFonts w:ascii="Arial" w:cs="Arial" w:eastAsia="Arial" w:hAnsi="Arial"/>
          <w:sz w:val="16"/>
          <w:szCs w:val="16"/>
          <w:color w:val="auto"/>
        </w:rPr>
        <w:t>Chairman of Noom, a leading digital health company, since July 2023. Mr. Jeong co-founded Noom in 2008, and served as the CEO from July 2006 to July 2023. Mr. Jeong is also a board member of the Foundation for the NIH and co-founder of United Korean Founders.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210185</wp:posOffset>
            </wp:positionV>
            <wp:extent cx="5288915" cy="643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288915" cy="643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ind w:left="260" w:right="360"/>
        <w:spacing w:after="0" w:line="332" w:lineRule="auto"/>
        <w:rPr>
          <w:sz w:val="20"/>
          <w:szCs w:val="20"/>
          <w:color w:val="auto"/>
        </w:rPr>
      </w:pPr>
      <w:r>
        <w:rPr>
          <w:rFonts w:ascii="Arial" w:cs="Arial" w:eastAsia="Arial" w:hAnsi="Arial"/>
          <w:sz w:val="16"/>
          <w:szCs w:val="16"/>
          <w:b w:val="1"/>
          <w:bCs w:val="1"/>
          <w:color w:val="auto"/>
        </w:rPr>
        <w:t>We believe that Mr. Jeong is qualified to serve on our Board based on his deep understanding of the consumer market, strategic governance experience, and entrepreneurial success.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1562735</wp:posOffset>
            </wp:positionH>
            <wp:positionV relativeFrom="paragraph">
              <wp:posOffset>748665</wp:posOffset>
            </wp:positionV>
            <wp:extent cx="282575" cy="2743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82575"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8120"/>
        <w:spacing w:after="0"/>
        <w:rPr>
          <w:sz w:val="20"/>
          <w:szCs w:val="20"/>
          <w:color w:val="auto"/>
        </w:rPr>
      </w:pPr>
      <w:r>
        <w:rPr>
          <w:rFonts w:ascii="Arial" w:cs="Arial" w:eastAsia="Arial" w:hAnsi="Arial"/>
          <w:sz w:val="14"/>
          <w:szCs w:val="14"/>
          <w:b w:val="1"/>
          <w:bCs w:val="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-1861185</wp:posOffset>
            </wp:positionH>
            <wp:positionV relativeFrom="paragraph">
              <wp:posOffset>233680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2180" w:space="720"/>
            <w:col w:w="8320"/>
          </w:cols>
          <w:pgMar w:left="340" w:top="130" w:right="339" w:bottom="1440" w:gutter="0" w:footer="0" w:header="0"/>
        </w:sectPr>
      </w:pPr>
    </w:p>
    <w:bookmarkStart w:id="17" w:name="page18"/>
    <w:bookmarkEnd w:id="17"/>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Class I Directors (Terms expiring at the 2028 annual meeting)</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0"/>
        <w:spacing w:after="0"/>
        <w:rPr>
          <w:sz w:val="20"/>
          <w:szCs w:val="20"/>
          <w:color w:val="auto"/>
        </w:rPr>
      </w:pPr>
      <w:r>
        <w:rPr>
          <w:rFonts w:ascii="Arial" w:cs="Arial" w:eastAsia="Arial" w:hAnsi="Arial"/>
          <w:sz w:val="32"/>
          <w:szCs w:val="32"/>
          <w:b w:val="1"/>
          <w:bCs w:val="1"/>
          <w:color w:val="auto"/>
        </w:rPr>
        <w:t>Nancy Dubuc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-1568450</wp:posOffset>
            </wp:positionV>
            <wp:extent cx="1234440" cy="12344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34440" cy="123444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1482725</wp:posOffset>
            </wp:positionV>
            <wp:extent cx="1234440" cy="12344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34440" cy="1234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0"/>
        <w:spacing w:after="0"/>
        <w:rPr>
          <w:sz w:val="20"/>
          <w:szCs w:val="20"/>
          <w:color w:val="auto"/>
        </w:rPr>
      </w:pPr>
      <w:r>
        <w:rPr>
          <w:rFonts w:ascii="Arial" w:cs="Arial" w:eastAsia="Arial" w:hAnsi="Arial"/>
          <w:sz w:val="32"/>
          <w:szCs w:val="32"/>
          <w:b w:val="1"/>
          <w:bCs w:val="1"/>
          <w:color w:val="auto"/>
        </w:rPr>
        <w:t>Yongsoo Kim</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right="20"/>
        <w:spacing w:after="0" w:line="299" w:lineRule="auto"/>
        <w:rPr>
          <w:sz w:val="20"/>
          <w:szCs w:val="20"/>
          <w:color w:val="auto"/>
        </w:rPr>
      </w:pPr>
      <w:r>
        <w:rPr>
          <w:rFonts w:ascii="Arial" w:cs="Arial" w:eastAsia="Arial" w:hAnsi="Arial"/>
          <w:sz w:val="16"/>
          <w:szCs w:val="16"/>
          <w:b w:val="1"/>
          <w:bCs w:val="1"/>
          <w:color w:val="auto"/>
        </w:rPr>
        <w:t xml:space="preserve">Nancy Dubuc </w:t>
      </w:r>
      <w:r>
        <w:rPr>
          <w:rFonts w:ascii="Arial" w:cs="Arial" w:eastAsia="Arial" w:hAnsi="Arial"/>
          <w:sz w:val="16"/>
          <w:szCs w:val="16"/>
          <w:color w:val="auto"/>
        </w:rPr>
        <w:t>has been a member of our Board since May 2024. Ms. Dubuc has served as a member of the board</w:t>
      </w:r>
      <w:r>
        <w:rPr>
          <w:rFonts w:ascii="Arial" w:cs="Arial" w:eastAsia="Arial" w:hAnsi="Arial"/>
          <w:sz w:val="16"/>
          <w:szCs w:val="16"/>
          <w:b w:val="1"/>
          <w:bCs w:val="1"/>
          <w:color w:val="auto"/>
        </w:rPr>
        <w:t xml:space="preserve"> </w:t>
      </w:r>
      <w:r>
        <w:rPr>
          <w:rFonts w:ascii="Arial" w:cs="Arial" w:eastAsia="Arial" w:hAnsi="Arial"/>
          <w:sz w:val="16"/>
          <w:szCs w:val="16"/>
          <w:color w:val="auto"/>
        </w:rPr>
        <w:t>of directors and chair of the Audit Committee and member of Executive Committee of Warner Music Group Corporation since July 2021, and on the board of directors of Flutter Entertainment Plc since April 2021, serving as a member of its Compensation and Human Resources Committee, Risk and Sustainability Committee, Audit Committee, Compensation and Human Resources Committee, and NCG &amp; Remuneration Committee. From May 2018 to February 2023, Ms. Dubuc held the position of Chief Executive Officer of Vice Media, LLC. Ms. Dubuc also served several positions at A&amp;E Television Networks, LLC from November 1993 to April 2018, including her position as President and Chief Executive Officer from 2013 to 2018. Ms. Dubuc’s engagement with the media, digital and publishing industries started earlier in her career, when she served various positions at Lifetime Entertainment Services, Big Rock Productions and WGBH Educational Foundation Inc. Ms. Dubuc received her B.S. in Communication from Boston University in 1991.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208280</wp:posOffset>
            </wp:positionV>
            <wp:extent cx="5288915" cy="916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288915" cy="91694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260" w:right="640"/>
        <w:spacing w:after="0" w:line="310" w:lineRule="auto"/>
        <w:rPr>
          <w:sz w:val="20"/>
          <w:szCs w:val="20"/>
          <w:color w:val="auto"/>
        </w:rPr>
      </w:pPr>
      <w:r>
        <w:rPr>
          <w:rFonts w:ascii="Arial" w:cs="Arial" w:eastAsia="Arial" w:hAnsi="Arial"/>
          <w:sz w:val="16"/>
          <w:szCs w:val="16"/>
          <w:b w:val="1"/>
          <w:bCs w:val="1"/>
          <w:color w:val="auto"/>
        </w:rPr>
        <w:t>We believe that Ms. Dubuc is qualified to serve on our Board based on her more than 25 years of experience in media, digital and publishing industries and her extensive experience in senior leadership with strong expertise in leading financial and operational transformations of global businesses.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0" w:right="60"/>
        <w:spacing w:after="0" w:line="299" w:lineRule="auto"/>
        <w:rPr>
          <w:sz w:val="20"/>
          <w:szCs w:val="20"/>
          <w:color w:val="auto"/>
        </w:rPr>
      </w:pPr>
      <w:r>
        <w:rPr>
          <w:rFonts w:ascii="Arial" w:cs="Arial" w:eastAsia="Arial" w:hAnsi="Arial"/>
          <w:sz w:val="16"/>
          <w:szCs w:val="16"/>
          <w:b w:val="1"/>
          <w:bCs w:val="1"/>
          <w:color w:val="auto"/>
        </w:rPr>
        <w:t xml:space="preserve">Yongsoo Kim </w:t>
      </w:r>
      <w:r>
        <w:rPr>
          <w:rFonts w:ascii="Arial" w:cs="Arial" w:eastAsia="Arial" w:hAnsi="Arial"/>
          <w:sz w:val="16"/>
          <w:szCs w:val="16"/>
          <w:color w:val="auto"/>
        </w:rPr>
        <w:t>has served as our President and a member of our Board since March 2026. Mr. Kim joined our</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in November 2022 as Head of Strategy and served in the position until December 2023, leading our company-wide transformation in 2023. Mr. Kim became our Chief Strategy Officer in December 2023 and concurrently served as Head of Global WEBTOON from August 2024 until February 2026, leading global strategic initiatives and WEBTOON’s Rest of the World business to accelerate our organic and inorganic growth and global integration. Since April 2025, Mr. Kim has also been leading operations of WEBTOON Productions (formerly Wattpad WEBTOON Studios), our North American entertainment business. Prior to joining our Company, Mr. Kim served as Chief Operating Officer at Mars Auto and as Principal at KKR, from January 2022 to October 2022 and from January 2018 to January 2022, respectively. Mr. Kim also served as Project Manager at Tesla from April 2017 to January 2018, and served as Engagement Manager at McKinsey &amp; Company from October 2012 to April 2017. Mr. Kim previously served as a member of the board of directors at LD CARBON Co., Ltd. from April 2025 to March 2026, and at ECORBIT Corp. (formerly TSK Corporation) from December 2020 to March 2022. Further, Mr. Kim served as an auditor at HD Hyundai Marine Solution Co., Ltd. from June 2021 to January 2022. Mr. Kim received a Bachelor of Business Administration at Yonsei University in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200025</wp:posOffset>
            </wp:positionV>
            <wp:extent cx="5280660" cy="77152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280660" cy="771525"/>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jc w:val="both"/>
        <w:ind w:left="260" w:right="780"/>
        <w:spacing w:after="0" w:line="324" w:lineRule="auto"/>
        <w:rPr>
          <w:sz w:val="20"/>
          <w:szCs w:val="20"/>
          <w:color w:val="auto"/>
        </w:rPr>
      </w:pPr>
      <w:r>
        <w:rPr>
          <w:rFonts w:ascii="Arial" w:cs="Arial" w:eastAsia="Arial" w:hAnsi="Arial"/>
          <w:sz w:val="16"/>
          <w:szCs w:val="16"/>
          <w:b w:val="1"/>
          <w:bCs w:val="1"/>
          <w:color w:val="auto"/>
        </w:rPr>
        <w:t>We believe that Mr. Kim is qualified to serve on our Board based on his experience in strategic leadership, operational execution, and global growth that is directly relevant to the Company’s business, structure, and long-term objectives.</w:t>
      </w:r>
    </w:p>
    <w:p>
      <w:pPr>
        <w:spacing w:after="0" w:line="200" w:lineRule="exact"/>
        <w:rPr>
          <w:sz w:val="20"/>
          <w:szCs w:val="20"/>
          <w:color w:val="auto"/>
        </w:rPr>
      </w:pPr>
    </w:p>
    <w:p>
      <w:pPr>
        <w:sectPr>
          <w:pgSz w:w="11900" w:h="16838" w:orient="portrait"/>
          <w:cols w:equalWidth="0" w:num="2">
            <w:col w:w="2200" w:space="720"/>
            <w:col w:w="8320"/>
          </w:cols>
          <w:pgMar w:left="320" w:top="13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20"/>
        <w:spacing w:after="0"/>
        <w:tabs>
          <w:tab w:leader="none" w:pos="5360" w:val="left"/>
        </w:tabs>
        <w:rPr>
          <w:sz w:val="20"/>
          <w:szCs w:val="20"/>
          <w:color w:val="auto"/>
        </w:rPr>
      </w:pPr>
      <w:r>
        <w:rPr>
          <w:rFonts w:ascii="Arial" w:cs="Arial" w:eastAsia="Arial" w:hAnsi="Arial"/>
          <w:sz w:val="14"/>
          <w:szCs w:val="14"/>
          <w:b w:val="1"/>
          <w:bCs w:val="1"/>
          <w:color w:val="auto"/>
        </w:rPr>
        <w:t>14</w:t>
      </w:r>
      <w:r>
        <w:rPr>
          <w:sz w:val="20"/>
          <w:szCs w:val="20"/>
          <w:color w:val="auto"/>
        </w:rPr>
        <w:tab/>
      </w:r>
      <w:r>
        <w:rPr>
          <w:sz w:val="1"/>
          <w:szCs w:val="1"/>
          <w:color w:val="auto"/>
        </w:rPr>
        <w:drawing>
          <wp:inline distT="0" distB="0" distL="0" distR="0">
            <wp:extent cx="282575" cy="274320"/>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82575" cy="274320"/>
                    </a:xfrm>
                    <a:prstGeom prst="rect">
                      <a:avLst/>
                    </a:prstGeom>
                    <a:noFill/>
                    <a:ln>
                      <a:noFill/>
                    </a:ln>
                  </pic:spPr>
                </pic:pic>
              </a:graphicData>
            </a:graphic>
          </wp:inline>
        </w:drawing>
      </w:r>
      <w:r>
        <w:rPr>
          <w:rFonts w:ascii="Arial" w:cs="Arial" w:eastAsia="Arial" w:hAnsi="Arial"/>
          <w:sz w:val="14"/>
          <w:szCs w:val="14"/>
          <w:b w:val="1"/>
          <w:bCs w:val="1"/>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8" w:name="page19"/>
    <w:bookmarkEnd w:id="18"/>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Our Certificate of Incorporation provides that the Board shall consist of such number of directors as determined from time to time by resolution adopted by the Board; provided that, at any time NAVER beneficially owns, in the aggregate, at least fifty percent (50%) in voting power of the then-outstanding shares of stock of the Company entitled to vote generally in the election of directors, the stockholders may also fix the number of directors by resolution adopted by the stockholders by written consent in lieu of a meeting. Subject to the rights granted to (i) the holders of any one or more series of preferred stock then outstanding, and (ii) NAVER and LY Corporation pursuant to the Stockholder Agreements, any newly created directorship on the Board that results from an increase in the number of directors and any vacancy occurring in the Board (whether by death, resignation, retirement, disqualification, removal or other cause) shall be filled by a majority of the directors then in office, although less than a quorum, by a sole remaining director or by the stockholders; provided, however, that any newly created directorship on the Board that results from an increase in the number of directors and any vacancy occurring in the Board shall be filled only by a majority of the directors then in office, although less than a quorum, or by a sole remaining director (and not by the stockholders other than NAVER and LY Corporation with respect to the directors designated by them pursuant to Section 6.1(C) of the Certificate of Incorporation, respectively), at any time when NAVER beneficially owns, in the aggregate, less than thirty-five percent (35%) in voting power of our common stock entitled to vote generally in the election of directors. Stockholders will elect directors each year at our annual meeting. The directors of the class to be elected at each annual meeting shall be elected for a three-year term. Any such director shall hold office until the annual meeting at which his or her term expires and until his or her successor shall be elected and qualified, or his or her death, resignation, retirement, disqualification or removal from office.</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color w:val="00DC64"/>
        </w:rPr>
        <w:t>DIRECTOR INDEPENDENCE</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For a director to be independent, the Board must determine that such director does not have any direct or indirect material relationship with the Company.</w:t>
      </w:r>
    </w:p>
    <w:p>
      <w:pPr>
        <w:spacing w:after="0" w:line="208" w:lineRule="exact"/>
        <w:rPr>
          <w:sz w:val="20"/>
          <w:szCs w:val="20"/>
          <w:color w:val="auto"/>
        </w:rPr>
      </w:pPr>
    </w:p>
    <w:p>
      <w:pPr>
        <w:ind w:right="20"/>
        <w:spacing w:after="0" w:line="300" w:lineRule="auto"/>
        <w:rPr>
          <w:sz w:val="20"/>
          <w:szCs w:val="20"/>
          <w:color w:val="auto"/>
        </w:rPr>
      </w:pPr>
      <w:r>
        <w:rPr>
          <w:rFonts w:ascii="Arial" w:cs="Arial" w:eastAsia="Arial" w:hAnsi="Arial"/>
          <w:sz w:val="16"/>
          <w:szCs w:val="16"/>
          <w:color w:val="auto"/>
        </w:rPr>
        <w:t>Pursuant to our Corporate Governance Guidelines, the Board has undertaken its annual review of director independence. Based on information provided by each director concerning his or her background, employment and affiliations, our Board has determined that Isabelle Winkles, Nancy Dubuc and Saeju Jeong do not have a relationship that would interfere with the exercise of independent judgment in carrying out the responsibilities of a director and that each of these directors is “independent” as that term is defined under the applicable rules and regulations of the SEC and the listing standards of the Nasdaq Global Select Market (“Nasdaq”). In making these determinations, our Board considered the current and prior relationships that each non-employee director has with our Company and all other facts and circumstances our Board deemed relevant in determining their independence, including the beneficial ownership of our capital stock by each non-employee director and the transactions involving them described in the section titled “Certain Relationships and Related Party Transactions.”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00DC64"/>
        </w:rPr>
        <w:t>CONTROLLED COMPANY EXEMPTION</w:t>
      </w:r>
    </w:p>
    <w:p>
      <w:pPr>
        <w:spacing w:after="0" w:line="198"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NAVER beneficially owns approximately 59.67% of our total outstanding shares of common stock and voting power for the election of directors. As a result, we are a “controlled company” as defined under the corporate governance rules of Nasdaq. We avail ourselves of the “controlled company” exemption under the rules of Nasdaq, including exemptions from certain of the corporate governance listing requirements. As a controlled company, we currently utilize the exemptions from certain corporate governance requirements under the rules of Nasdaq, including the requirements:</w:t>
      </w:r>
    </w:p>
    <w:p>
      <w:pPr>
        <w:spacing w:after="0" w:line="128" w:lineRule="exact"/>
        <w:rPr>
          <w:sz w:val="20"/>
          <w:szCs w:val="20"/>
          <w:color w:val="auto"/>
        </w:rPr>
      </w:pPr>
    </w:p>
    <w:p>
      <w:pPr>
        <w:ind w:left="640" w:hanging="308"/>
        <w:spacing w:after="0"/>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that a majority of our Board consist of “independent directors,” as defined under the rules of Nasdaq;</w:t>
      </w:r>
    </w:p>
    <w:p>
      <w:pPr>
        <w:spacing w:after="0" w:line="99" w:lineRule="exact"/>
        <w:rPr>
          <w:rFonts w:ascii="Arial" w:cs="Arial" w:eastAsia="Arial" w:hAnsi="Arial"/>
          <w:sz w:val="16"/>
          <w:szCs w:val="16"/>
          <w:color w:val="auto"/>
        </w:rPr>
      </w:pPr>
    </w:p>
    <w:p>
      <w:pPr>
        <w:ind w:left="640" w:hanging="308"/>
        <w:spacing w:after="0"/>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that we have a compensation committee composed entirely of independent directors; and</w:t>
      </w:r>
    </w:p>
    <w:p>
      <w:pPr>
        <w:spacing w:after="0" w:line="86" w:lineRule="exact"/>
        <w:rPr>
          <w:rFonts w:ascii="Arial" w:cs="Arial" w:eastAsia="Arial" w:hAnsi="Arial"/>
          <w:sz w:val="16"/>
          <w:szCs w:val="16"/>
          <w:color w:val="auto"/>
        </w:rPr>
      </w:pPr>
    </w:p>
    <w:p>
      <w:pPr>
        <w:ind w:left="660" w:right="40" w:hanging="328"/>
        <w:spacing w:after="0" w:line="334" w:lineRule="auto"/>
        <w:tabs>
          <w:tab w:leader="none" w:pos="649"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that we have a nominations committee composed entirely of independent directors and that director nominees be selected, or recommended for the Board’s selection, either by a majority of the independent directors or a nominations committee composed solely of independent directors.</w:t>
      </w:r>
    </w:p>
    <w:p>
      <w:pPr>
        <w:spacing w:after="0" w:line="1" w:lineRule="exact"/>
        <w:rPr>
          <w:sz w:val="20"/>
          <w:szCs w:val="20"/>
          <w:color w:val="auto"/>
        </w:rPr>
      </w:pPr>
    </w:p>
    <w:p>
      <w:pPr>
        <w:ind w:right="180"/>
        <w:spacing w:after="0" w:line="310" w:lineRule="auto"/>
        <w:rPr>
          <w:sz w:val="20"/>
          <w:szCs w:val="20"/>
          <w:color w:val="auto"/>
        </w:rPr>
      </w:pPr>
      <w:r>
        <w:rPr>
          <w:rFonts w:ascii="Arial" w:cs="Arial" w:eastAsia="Arial" w:hAnsi="Arial"/>
          <w:sz w:val="16"/>
          <w:szCs w:val="16"/>
          <w:color w:val="auto"/>
        </w:rPr>
        <w:t>The “controlled company” exemption does not modify the independence requirements for the audit committee, and we comply with the requirements of the Sarbanes-Oxley Act and the Nasdaq listing standards, which require that our Audit Committee be composed of at least three members and entirely of independent directors within one year from the effective date of our IPO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310515</wp:posOffset>
            </wp:positionV>
            <wp:extent cx="282575" cy="2743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82575"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280" w:type="dxa"/>
            <w:vAlign w:val="bottom"/>
          </w:tcPr>
          <w:p>
            <w:pPr>
              <w:ind w:left="20"/>
              <w:spacing w:after="0"/>
              <w:rPr>
                <w:sz w:val="20"/>
                <w:szCs w:val="20"/>
                <w:color w:val="auto"/>
              </w:rPr>
            </w:pPr>
            <w:r>
              <w:rPr>
                <w:rFonts w:ascii="Arial" w:cs="Arial" w:eastAsia="Arial" w:hAnsi="Arial"/>
                <w:sz w:val="14"/>
                <w:szCs w:val="14"/>
                <w:b w:val="1"/>
                <w:bCs w:val="1"/>
                <w:color w:val="auto"/>
              </w:rPr>
              <w:t>2026 Proxy Statement</w:t>
            </w:r>
          </w:p>
        </w:tc>
        <w:tc>
          <w:tcPr>
            <w:tcW w:w="4960" w:type="dxa"/>
            <w:vAlign w:val="bottom"/>
          </w:tcPr>
          <w:p>
            <w:pPr>
              <w:jc w:val="right"/>
              <w:spacing w:after="0"/>
              <w:rPr>
                <w:sz w:val="20"/>
                <w:szCs w:val="20"/>
                <w:color w:val="auto"/>
              </w:rPr>
            </w:pPr>
            <w:r>
              <w:rPr>
                <w:rFonts w:ascii="Arial" w:cs="Arial" w:eastAsia="Arial" w:hAnsi="Arial"/>
                <w:sz w:val="14"/>
                <w:szCs w:val="14"/>
                <w:b w:val="1"/>
                <w:bCs w:val="1"/>
                <w:color w:val="auto"/>
              </w:rPr>
              <w:t>15</w:t>
            </w:r>
          </w:p>
        </w:tc>
      </w:tr>
      <w:tr>
        <w:trPr>
          <w:trHeight w:val="360"/>
        </w:trPr>
        <w:tc>
          <w:tcPr>
            <w:tcW w:w="6280" w:type="dxa"/>
            <w:vAlign w:val="bottom"/>
            <w:tcBorders>
              <w:bottom w:val="single" w:sz="8" w:color="9A9A9A"/>
            </w:tcBorders>
          </w:tcPr>
          <w:p>
            <w:pPr>
              <w:spacing w:after="0"/>
              <w:rPr>
                <w:sz w:val="24"/>
                <w:szCs w:val="24"/>
                <w:color w:val="auto"/>
              </w:rPr>
            </w:pPr>
          </w:p>
        </w:tc>
        <w:tc>
          <w:tcPr>
            <w:tcW w:w="4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9" w:name="page20"/>
    <w:bookmarkEnd w:id="19"/>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20"/>
          <w:szCs w:val="20"/>
          <w:b w:val="1"/>
          <w:bCs w:val="1"/>
          <w:color w:val="00DC64"/>
        </w:rPr>
        <w:t>BOARD MEETINGS AND COMMITTEES</w:t>
      </w:r>
    </w:p>
    <w:p>
      <w:pPr>
        <w:spacing w:after="0" w:line="198" w:lineRule="exact"/>
        <w:rPr>
          <w:sz w:val="20"/>
          <w:szCs w:val="20"/>
          <w:color w:val="auto"/>
        </w:rPr>
      </w:pPr>
    </w:p>
    <w:p>
      <w:pPr>
        <w:ind w:right="100"/>
        <w:spacing w:after="0" w:line="310" w:lineRule="auto"/>
        <w:rPr>
          <w:sz w:val="20"/>
          <w:szCs w:val="20"/>
          <w:color w:val="auto"/>
        </w:rPr>
      </w:pPr>
      <w:r>
        <w:rPr>
          <w:rFonts w:ascii="Arial" w:cs="Arial" w:eastAsia="Arial" w:hAnsi="Arial"/>
          <w:sz w:val="16"/>
          <w:szCs w:val="16"/>
          <w:color w:val="auto"/>
        </w:rPr>
        <w:t>Our Board authorized the formation of audit, compensation, and nominating and corporate governance committees. The composition, duties and responsibilities of these committees are set forth below. Our Board may from time to time establish certain other committees to facilitate the management of the Company.</w:t>
      </w:r>
    </w:p>
    <w:p>
      <w:pPr>
        <w:spacing w:after="0" w:line="124" w:lineRule="exact"/>
        <w:rPr>
          <w:sz w:val="20"/>
          <w:szCs w:val="20"/>
          <w:color w:val="auto"/>
        </w:rPr>
      </w:pPr>
    </w:p>
    <w:p>
      <w:pPr>
        <w:ind w:right="20"/>
        <w:spacing w:after="0" w:line="303" w:lineRule="auto"/>
        <w:rPr>
          <w:sz w:val="20"/>
          <w:szCs w:val="20"/>
          <w:color w:val="auto"/>
        </w:rPr>
      </w:pPr>
      <w:r>
        <w:rPr>
          <w:rFonts w:ascii="Arial" w:cs="Arial" w:eastAsia="Arial" w:hAnsi="Arial"/>
          <w:sz w:val="16"/>
          <w:szCs w:val="16"/>
          <w:color w:val="auto"/>
        </w:rPr>
        <w:t>In 2025, the Board held six meetings, the Audit Committee held four meetings, the Compensation Committee held four meetings and the Nominating and Corporate Governance Committee held four meetings. Directors are expected to attend the annual meeting of stockholders and all, or substantially all, of the Board meetings and meetings of committees on which they serve. The following directors attended our 2025 annual meeting of stockholders: Junkoo Kim, David J. Lee, Jun Masuda, Isabelle Winkles and Nancy Dubuc. In 2025, all of our directors attended at least 75% of the meetings of the Board and applicable committee meetings during such director’s tenure. The Nasdaq rules require that independent directors have regularly scheduled meetings at which only independent directors are present (“executive sessions”) and that the executive sessions occur at least twice a year. The Company’s independent directors met separately in executive session three times during 2025.</w:t>
      </w:r>
    </w:p>
    <w:p>
      <w:pPr>
        <w:spacing w:after="0" w:line="129" w:lineRule="exact"/>
        <w:rPr>
          <w:sz w:val="20"/>
          <w:szCs w:val="20"/>
          <w:color w:val="auto"/>
        </w:rPr>
      </w:pPr>
    </w:p>
    <w:p>
      <w:pPr>
        <w:ind w:right="120"/>
        <w:spacing w:after="0" w:line="310" w:lineRule="auto"/>
        <w:rPr>
          <w:sz w:val="20"/>
          <w:szCs w:val="20"/>
          <w:color w:val="auto"/>
        </w:rPr>
      </w:pPr>
      <w:r>
        <w:rPr>
          <w:rFonts w:ascii="Arial" w:cs="Arial" w:eastAsia="Arial" w:hAnsi="Arial"/>
          <w:sz w:val="16"/>
          <w:szCs w:val="16"/>
          <w:color w:val="auto"/>
        </w:rPr>
        <w:t>Each of our standing committees has a written charter that is available on our website at https://ir.webtoon.com. The information contained on or accessible through our website is not incorporated by reference into this Proxy Statement or any of our other filings with the SEC or considered to be part of this document.</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sets forth the composition of the Board committees: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200" w:type="dxa"/>
            <w:vAlign w:val="bottom"/>
          </w:tcPr>
          <w:p>
            <w:pPr>
              <w:spacing w:after="0"/>
              <w:rPr>
                <w:sz w:val="15"/>
                <w:szCs w:val="15"/>
                <w:color w:val="auto"/>
              </w:rPr>
            </w:pPr>
          </w:p>
        </w:tc>
        <w:tc>
          <w:tcPr>
            <w:tcW w:w="3580" w:type="dxa"/>
            <w:vAlign w:val="bottom"/>
            <w:vMerge w:val="restart"/>
          </w:tcPr>
          <w:p>
            <w:pPr>
              <w:jc w:val="center"/>
              <w:ind w:left="1288"/>
              <w:spacing w:after="0"/>
              <w:rPr>
                <w:sz w:val="20"/>
                <w:szCs w:val="20"/>
                <w:color w:val="auto"/>
              </w:rPr>
            </w:pPr>
            <w:r>
              <w:rPr>
                <w:rFonts w:ascii="Arial" w:cs="Arial" w:eastAsia="Arial" w:hAnsi="Arial"/>
                <w:sz w:val="14"/>
                <w:szCs w:val="14"/>
                <w:b w:val="1"/>
                <w:bCs w:val="1"/>
                <w:color w:val="auto"/>
              </w:rPr>
              <w:t>Audit</w:t>
            </w:r>
          </w:p>
        </w:tc>
        <w:tc>
          <w:tcPr>
            <w:tcW w:w="2100" w:type="dxa"/>
            <w:vAlign w:val="bottom"/>
            <w:vMerge w:val="restart"/>
          </w:tcPr>
          <w:p>
            <w:pPr>
              <w:jc w:val="center"/>
              <w:ind w:left="68"/>
              <w:spacing w:after="0"/>
              <w:rPr>
                <w:sz w:val="20"/>
                <w:szCs w:val="20"/>
                <w:color w:val="auto"/>
              </w:rPr>
            </w:pPr>
            <w:r>
              <w:rPr>
                <w:rFonts w:ascii="Arial" w:cs="Arial" w:eastAsia="Arial" w:hAnsi="Arial"/>
                <w:sz w:val="14"/>
                <w:szCs w:val="14"/>
                <w:b w:val="1"/>
                <w:bCs w:val="1"/>
                <w:color w:val="auto"/>
              </w:rPr>
              <w:t>Compensation</w:t>
            </w:r>
          </w:p>
        </w:tc>
        <w:tc>
          <w:tcPr>
            <w:tcW w:w="2360" w:type="dxa"/>
            <w:vAlign w:val="bottom"/>
          </w:tcPr>
          <w:p>
            <w:pPr>
              <w:jc w:val="center"/>
              <w:ind w:left="48"/>
              <w:spacing w:after="0"/>
              <w:rPr>
                <w:sz w:val="20"/>
                <w:szCs w:val="20"/>
                <w:color w:val="auto"/>
              </w:rPr>
            </w:pPr>
            <w:r>
              <w:rPr>
                <w:rFonts w:ascii="Arial" w:cs="Arial" w:eastAsia="Arial" w:hAnsi="Arial"/>
                <w:sz w:val="14"/>
                <w:szCs w:val="14"/>
                <w:b w:val="1"/>
                <w:bCs w:val="1"/>
                <w:color w:val="auto"/>
              </w:rPr>
              <w:t>Nominating and</w:t>
            </w:r>
          </w:p>
        </w:tc>
        <w:tc>
          <w:tcPr>
            <w:tcW w:w="0" w:type="dxa"/>
            <w:vAlign w:val="bottom"/>
          </w:tcPr>
          <w:p>
            <w:pPr>
              <w:spacing w:after="0"/>
              <w:rPr>
                <w:sz w:val="1"/>
                <w:szCs w:val="1"/>
                <w:color w:val="auto"/>
              </w:rPr>
            </w:pPr>
          </w:p>
        </w:tc>
      </w:tr>
      <w:tr>
        <w:trPr>
          <w:trHeight w:val="162"/>
        </w:trPr>
        <w:tc>
          <w:tcPr>
            <w:tcW w:w="3200" w:type="dxa"/>
            <w:vAlign w:val="bottom"/>
          </w:tcPr>
          <w:p>
            <w:pPr>
              <w:spacing w:after="0"/>
              <w:rPr>
                <w:sz w:val="14"/>
                <w:szCs w:val="14"/>
                <w:color w:val="auto"/>
              </w:rPr>
            </w:pPr>
          </w:p>
        </w:tc>
        <w:tc>
          <w:tcPr>
            <w:tcW w:w="3580" w:type="dxa"/>
            <w:vAlign w:val="bottom"/>
            <w:vMerge w:val="continue"/>
          </w:tcPr>
          <w:p>
            <w:pPr>
              <w:spacing w:after="0"/>
              <w:rPr>
                <w:sz w:val="14"/>
                <w:szCs w:val="14"/>
                <w:color w:val="auto"/>
              </w:rPr>
            </w:pPr>
          </w:p>
        </w:tc>
        <w:tc>
          <w:tcPr>
            <w:tcW w:w="2100" w:type="dxa"/>
            <w:vAlign w:val="bottom"/>
            <w:vMerge w:val="continue"/>
          </w:tcPr>
          <w:p>
            <w:pPr>
              <w:spacing w:after="0"/>
              <w:rPr>
                <w:sz w:val="14"/>
                <w:szCs w:val="14"/>
                <w:color w:val="auto"/>
              </w:rPr>
            </w:pPr>
          </w:p>
        </w:tc>
        <w:tc>
          <w:tcPr>
            <w:tcW w:w="2360" w:type="dxa"/>
            <w:vAlign w:val="bottom"/>
          </w:tcPr>
          <w:p>
            <w:pPr>
              <w:jc w:val="center"/>
              <w:ind w:left="48"/>
              <w:spacing w:after="0"/>
              <w:rPr>
                <w:sz w:val="20"/>
                <w:szCs w:val="20"/>
                <w:color w:val="auto"/>
              </w:rPr>
            </w:pPr>
            <w:r>
              <w:rPr>
                <w:rFonts w:ascii="Arial" w:cs="Arial" w:eastAsia="Arial" w:hAnsi="Arial"/>
                <w:sz w:val="14"/>
                <w:szCs w:val="14"/>
                <w:b w:val="1"/>
                <w:bCs w:val="1"/>
                <w:color w:val="auto"/>
              </w:rPr>
              <w:t>Corporate Governance</w:t>
            </w:r>
          </w:p>
        </w:tc>
        <w:tc>
          <w:tcPr>
            <w:tcW w:w="0" w:type="dxa"/>
            <w:vAlign w:val="bottom"/>
          </w:tcPr>
          <w:p>
            <w:pPr>
              <w:spacing w:after="0"/>
              <w:rPr>
                <w:sz w:val="1"/>
                <w:szCs w:val="1"/>
                <w:color w:val="auto"/>
              </w:rPr>
            </w:pPr>
          </w:p>
        </w:tc>
      </w:tr>
      <w:tr>
        <w:trPr>
          <w:trHeight w:val="196"/>
        </w:trPr>
        <w:tc>
          <w:tcPr>
            <w:tcW w:w="3200" w:type="dxa"/>
            <w:vAlign w:val="bottom"/>
          </w:tcPr>
          <w:p>
            <w:pPr>
              <w:ind w:left="100"/>
              <w:spacing w:after="0"/>
              <w:rPr>
                <w:sz w:val="20"/>
                <w:szCs w:val="20"/>
                <w:color w:val="auto"/>
              </w:rPr>
            </w:pPr>
            <w:r>
              <w:rPr>
                <w:rFonts w:ascii="Arial" w:cs="Arial" w:eastAsia="Arial" w:hAnsi="Arial"/>
                <w:sz w:val="14"/>
                <w:szCs w:val="14"/>
                <w:b w:val="1"/>
                <w:bCs w:val="1"/>
                <w:color w:val="auto"/>
              </w:rPr>
              <w:t>Board Member</w:t>
            </w:r>
          </w:p>
        </w:tc>
        <w:tc>
          <w:tcPr>
            <w:tcW w:w="3580" w:type="dxa"/>
            <w:vAlign w:val="bottom"/>
          </w:tcPr>
          <w:p>
            <w:pPr>
              <w:jc w:val="center"/>
              <w:ind w:left="1288"/>
              <w:spacing w:after="0"/>
              <w:rPr>
                <w:sz w:val="20"/>
                <w:szCs w:val="20"/>
                <w:color w:val="auto"/>
              </w:rPr>
            </w:pPr>
            <w:r>
              <w:rPr>
                <w:rFonts w:ascii="Arial" w:cs="Arial" w:eastAsia="Arial" w:hAnsi="Arial"/>
                <w:sz w:val="14"/>
                <w:szCs w:val="14"/>
                <w:b w:val="1"/>
                <w:bCs w:val="1"/>
                <w:color w:val="auto"/>
              </w:rPr>
              <w:t>Committee</w:t>
            </w:r>
          </w:p>
        </w:tc>
        <w:tc>
          <w:tcPr>
            <w:tcW w:w="2100" w:type="dxa"/>
            <w:vAlign w:val="bottom"/>
          </w:tcPr>
          <w:p>
            <w:pPr>
              <w:jc w:val="center"/>
              <w:ind w:left="68"/>
              <w:spacing w:after="0"/>
              <w:rPr>
                <w:sz w:val="20"/>
                <w:szCs w:val="20"/>
                <w:color w:val="auto"/>
              </w:rPr>
            </w:pPr>
            <w:r>
              <w:rPr>
                <w:rFonts w:ascii="Arial" w:cs="Arial" w:eastAsia="Arial" w:hAnsi="Arial"/>
                <w:sz w:val="14"/>
                <w:szCs w:val="14"/>
                <w:b w:val="1"/>
                <w:bCs w:val="1"/>
                <w:color w:val="auto"/>
              </w:rPr>
              <w:t>Committee</w:t>
            </w:r>
          </w:p>
        </w:tc>
        <w:tc>
          <w:tcPr>
            <w:tcW w:w="2360" w:type="dxa"/>
            <w:vAlign w:val="bottom"/>
          </w:tcPr>
          <w:p>
            <w:pPr>
              <w:jc w:val="center"/>
              <w:ind w:left="68"/>
              <w:spacing w:after="0"/>
              <w:rPr>
                <w:sz w:val="20"/>
                <w:szCs w:val="20"/>
                <w:color w:val="auto"/>
              </w:rPr>
            </w:pPr>
            <w:r>
              <w:rPr>
                <w:rFonts w:ascii="Arial" w:cs="Arial" w:eastAsia="Arial" w:hAnsi="Arial"/>
                <w:sz w:val="14"/>
                <w:szCs w:val="14"/>
                <w:b w:val="1"/>
                <w:bCs w:val="1"/>
                <w:color w:val="auto"/>
              </w:rPr>
              <w:t>Committee</w:t>
            </w:r>
          </w:p>
        </w:tc>
        <w:tc>
          <w:tcPr>
            <w:tcW w:w="0" w:type="dxa"/>
            <w:vAlign w:val="bottom"/>
          </w:tcPr>
          <w:p>
            <w:pPr>
              <w:spacing w:after="0"/>
              <w:rPr>
                <w:sz w:val="1"/>
                <w:szCs w:val="1"/>
                <w:color w:val="auto"/>
              </w:rPr>
            </w:pPr>
          </w:p>
        </w:tc>
      </w:tr>
      <w:tr>
        <w:trPr>
          <w:trHeight w:val="110"/>
        </w:trPr>
        <w:tc>
          <w:tcPr>
            <w:tcW w:w="3200" w:type="dxa"/>
            <w:vAlign w:val="bottom"/>
          </w:tcPr>
          <w:p>
            <w:pPr>
              <w:spacing w:after="0"/>
              <w:rPr>
                <w:sz w:val="9"/>
                <w:szCs w:val="9"/>
                <w:color w:val="auto"/>
              </w:rPr>
            </w:pPr>
          </w:p>
        </w:tc>
        <w:tc>
          <w:tcPr>
            <w:tcW w:w="3580" w:type="dxa"/>
            <w:vAlign w:val="bottom"/>
          </w:tcPr>
          <w:p>
            <w:pPr>
              <w:spacing w:after="0"/>
              <w:rPr>
                <w:sz w:val="9"/>
                <w:szCs w:val="9"/>
                <w:color w:val="auto"/>
              </w:rPr>
            </w:pPr>
          </w:p>
        </w:tc>
        <w:tc>
          <w:tcPr>
            <w:tcW w:w="2100" w:type="dxa"/>
            <w:vAlign w:val="bottom"/>
          </w:tcPr>
          <w:p>
            <w:pPr>
              <w:spacing w:after="0"/>
              <w:rPr>
                <w:sz w:val="9"/>
                <w:szCs w:val="9"/>
                <w:color w:val="auto"/>
              </w:rPr>
            </w:pPr>
          </w:p>
        </w:tc>
        <w:tc>
          <w:tcPr>
            <w:tcW w:w="2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3200" w:type="dxa"/>
            <w:vAlign w:val="bottom"/>
            <w:shd w:val="clear" w:color="auto" w:fill="F1F2F2"/>
          </w:tcPr>
          <w:p>
            <w:pPr>
              <w:ind w:left="100"/>
              <w:spacing w:after="0"/>
              <w:rPr>
                <w:sz w:val="20"/>
                <w:szCs w:val="20"/>
                <w:color w:val="auto"/>
              </w:rPr>
            </w:pPr>
            <w:r>
              <w:rPr>
                <w:rFonts w:ascii="Arial" w:cs="Arial" w:eastAsia="Arial" w:hAnsi="Arial"/>
                <w:sz w:val="14"/>
                <w:szCs w:val="14"/>
                <w:b w:val="1"/>
                <w:bCs w:val="1"/>
                <w:color w:val="auto"/>
              </w:rPr>
              <w:t>Nancy Dubuc</w:t>
            </w:r>
          </w:p>
        </w:tc>
        <w:tc>
          <w:tcPr>
            <w:tcW w:w="3580" w:type="dxa"/>
            <w:vAlign w:val="bottom"/>
            <w:shd w:val="clear" w:color="auto" w:fill="F1F2F2"/>
          </w:tcPr>
          <w:p>
            <w:pPr>
              <w:jc w:val="center"/>
              <w:ind w:left="1288"/>
              <w:spacing w:after="0"/>
              <w:rPr>
                <w:sz w:val="20"/>
                <w:szCs w:val="20"/>
                <w:color w:val="auto"/>
              </w:rPr>
            </w:pPr>
            <w:r>
              <w:rPr>
                <w:rFonts w:ascii="Arial" w:cs="Arial" w:eastAsia="Arial" w:hAnsi="Arial"/>
                <w:sz w:val="14"/>
                <w:szCs w:val="14"/>
                <w:color w:val="auto"/>
              </w:rPr>
              <w:t>X</w:t>
            </w:r>
          </w:p>
        </w:tc>
        <w:tc>
          <w:tcPr>
            <w:tcW w:w="2100" w:type="dxa"/>
            <w:vAlign w:val="bottom"/>
            <w:shd w:val="clear" w:color="auto" w:fill="F1F2F2"/>
          </w:tcPr>
          <w:p>
            <w:pPr>
              <w:jc w:val="center"/>
              <w:ind w:left="68"/>
              <w:spacing w:after="0"/>
              <w:rPr>
                <w:sz w:val="20"/>
                <w:szCs w:val="20"/>
                <w:color w:val="auto"/>
              </w:rPr>
            </w:pPr>
            <w:r>
              <w:rPr>
                <w:rFonts w:ascii="Arial" w:cs="Arial" w:eastAsia="Arial" w:hAnsi="Arial"/>
                <w:sz w:val="14"/>
                <w:szCs w:val="14"/>
                <w:color w:val="auto"/>
                <w:w w:val="85"/>
              </w:rPr>
              <w:t>X</w:t>
            </w:r>
          </w:p>
        </w:tc>
        <w:tc>
          <w:tcPr>
            <w:tcW w:w="2360" w:type="dxa"/>
            <w:vAlign w:val="bottom"/>
            <w:shd w:val="clear" w:color="auto" w:fill="F1F2F2"/>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200" w:type="dxa"/>
            <w:vAlign w:val="bottom"/>
          </w:tcPr>
          <w:p>
            <w:pPr>
              <w:ind w:left="100"/>
              <w:spacing w:after="0"/>
              <w:rPr>
                <w:sz w:val="20"/>
                <w:szCs w:val="20"/>
                <w:color w:val="auto"/>
              </w:rPr>
            </w:pPr>
            <w:r>
              <w:rPr>
                <w:rFonts w:ascii="Arial" w:cs="Arial" w:eastAsia="Arial" w:hAnsi="Arial"/>
                <w:sz w:val="14"/>
                <w:szCs w:val="14"/>
                <w:b w:val="1"/>
                <w:bCs w:val="1"/>
                <w:color w:val="auto"/>
              </w:rPr>
              <w:t>Junkoo Kim</w:t>
            </w:r>
          </w:p>
        </w:tc>
        <w:tc>
          <w:tcPr>
            <w:tcW w:w="35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2360" w:type="dxa"/>
            <w:vAlign w:val="bottom"/>
          </w:tcPr>
          <w:p>
            <w:pPr>
              <w:jc w:val="center"/>
              <w:ind w:left="68"/>
              <w:spacing w:after="0"/>
              <w:rPr>
                <w:sz w:val="20"/>
                <w:szCs w:val="20"/>
                <w:color w:val="auto"/>
              </w:rPr>
            </w:pPr>
            <w:r>
              <w:rPr>
                <w:rFonts w:ascii="Arial" w:cs="Arial" w:eastAsia="Arial" w:hAnsi="Arial"/>
                <w:sz w:val="14"/>
                <w:szCs w:val="14"/>
                <w:color w:val="auto"/>
              </w:rPr>
              <w:t>X (Chairperson)</w:t>
            </w:r>
          </w:p>
        </w:tc>
        <w:tc>
          <w:tcPr>
            <w:tcW w:w="0" w:type="dxa"/>
            <w:vAlign w:val="bottom"/>
          </w:tcPr>
          <w:p>
            <w:pPr>
              <w:spacing w:after="0"/>
              <w:rPr>
                <w:sz w:val="1"/>
                <w:szCs w:val="1"/>
                <w:color w:val="auto"/>
              </w:rPr>
            </w:pPr>
          </w:p>
        </w:tc>
      </w:tr>
      <w:tr>
        <w:trPr>
          <w:trHeight w:val="237"/>
        </w:trPr>
        <w:tc>
          <w:tcPr>
            <w:tcW w:w="3200" w:type="dxa"/>
            <w:vAlign w:val="bottom"/>
            <w:shd w:val="clear" w:color="auto" w:fill="F1F2F2"/>
          </w:tcPr>
          <w:p>
            <w:pPr>
              <w:ind w:left="100"/>
              <w:spacing w:after="0"/>
              <w:rPr>
                <w:sz w:val="20"/>
                <w:szCs w:val="20"/>
                <w:color w:val="auto"/>
              </w:rPr>
            </w:pPr>
            <w:r>
              <w:rPr>
                <w:rFonts w:ascii="Arial" w:cs="Arial" w:eastAsia="Arial" w:hAnsi="Arial"/>
                <w:sz w:val="14"/>
                <w:szCs w:val="14"/>
                <w:b w:val="1"/>
                <w:bCs w:val="1"/>
                <w:color w:val="auto"/>
              </w:rPr>
              <w:t>Namsun Kim</w:t>
            </w:r>
          </w:p>
        </w:tc>
        <w:tc>
          <w:tcPr>
            <w:tcW w:w="3580" w:type="dxa"/>
            <w:vAlign w:val="bottom"/>
            <w:shd w:val="clear" w:color="auto" w:fill="F1F2F2"/>
          </w:tcPr>
          <w:p>
            <w:pPr>
              <w:spacing w:after="0"/>
              <w:rPr>
                <w:sz w:val="20"/>
                <w:szCs w:val="20"/>
                <w:color w:val="auto"/>
              </w:rPr>
            </w:pPr>
          </w:p>
        </w:tc>
        <w:tc>
          <w:tcPr>
            <w:tcW w:w="2100" w:type="dxa"/>
            <w:vAlign w:val="bottom"/>
            <w:shd w:val="clear" w:color="auto" w:fill="F1F2F2"/>
          </w:tcPr>
          <w:p>
            <w:pPr>
              <w:jc w:val="center"/>
              <w:ind w:left="68"/>
              <w:spacing w:after="0"/>
              <w:rPr>
                <w:sz w:val="20"/>
                <w:szCs w:val="20"/>
                <w:color w:val="auto"/>
              </w:rPr>
            </w:pPr>
            <w:r>
              <w:rPr>
                <w:rFonts w:ascii="Arial" w:cs="Arial" w:eastAsia="Arial" w:hAnsi="Arial"/>
                <w:sz w:val="14"/>
                <w:szCs w:val="14"/>
                <w:color w:val="auto"/>
                <w:w w:val="85"/>
              </w:rPr>
              <w:t>X</w:t>
            </w:r>
          </w:p>
        </w:tc>
        <w:tc>
          <w:tcPr>
            <w:tcW w:w="2360" w:type="dxa"/>
            <w:vAlign w:val="bottom"/>
            <w:shd w:val="clear" w:color="auto" w:fill="F1F2F2"/>
          </w:tcPr>
          <w:p>
            <w:pPr>
              <w:jc w:val="center"/>
              <w:ind w:left="68"/>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222"/>
        </w:trPr>
        <w:tc>
          <w:tcPr>
            <w:tcW w:w="3200" w:type="dxa"/>
            <w:vAlign w:val="bottom"/>
          </w:tcPr>
          <w:p>
            <w:pPr>
              <w:ind w:left="100"/>
              <w:spacing w:after="0"/>
              <w:rPr>
                <w:sz w:val="20"/>
                <w:szCs w:val="20"/>
                <w:color w:val="auto"/>
              </w:rPr>
            </w:pPr>
            <w:r>
              <w:rPr>
                <w:rFonts w:ascii="Arial" w:cs="Arial" w:eastAsia="Arial" w:hAnsi="Arial"/>
                <w:sz w:val="14"/>
                <w:szCs w:val="14"/>
                <w:b w:val="1"/>
                <w:bCs w:val="1"/>
                <w:color w:val="auto"/>
              </w:rPr>
              <w:t>Haejin Lee</w:t>
            </w:r>
          </w:p>
        </w:tc>
        <w:tc>
          <w:tcPr>
            <w:tcW w:w="3580" w:type="dxa"/>
            <w:vAlign w:val="bottom"/>
          </w:tcPr>
          <w:p>
            <w:pPr>
              <w:spacing w:after="0"/>
              <w:rPr>
                <w:sz w:val="19"/>
                <w:szCs w:val="19"/>
                <w:color w:val="auto"/>
              </w:rPr>
            </w:pPr>
          </w:p>
        </w:tc>
        <w:tc>
          <w:tcPr>
            <w:tcW w:w="2100" w:type="dxa"/>
            <w:vAlign w:val="bottom"/>
          </w:tcPr>
          <w:p>
            <w:pPr>
              <w:jc w:val="center"/>
              <w:ind w:left="68"/>
              <w:spacing w:after="0"/>
              <w:rPr>
                <w:sz w:val="20"/>
                <w:szCs w:val="20"/>
                <w:color w:val="auto"/>
              </w:rPr>
            </w:pPr>
            <w:r>
              <w:rPr>
                <w:rFonts w:ascii="Arial" w:cs="Arial" w:eastAsia="Arial" w:hAnsi="Arial"/>
                <w:sz w:val="14"/>
                <w:szCs w:val="14"/>
                <w:color w:val="auto"/>
              </w:rPr>
              <w:t>X (Chairperson)</w:t>
            </w:r>
          </w:p>
        </w:tc>
        <w:tc>
          <w:tcPr>
            <w:tcW w:w="2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00" w:type="dxa"/>
            <w:vAlign w:val="bottom"/>
            <w:shd w:val="clear" w:color="auto" w:fill="F1F2F2"/>
          </w:tcPr>
          <w:p>
            <w:pPr>
              <w:ind w:left="100"/>
              <w:spacing w:after="0"/>
              <w:rPr>
                <w:sz w:val="20"/>
                <w:szCs w:val="20"/>
                <w:color w:val="auto"/>
              </w:rPr>
            </w:pPr>
            <w:r>
              <w:rPr>
                <w:rFonts w:ascii="Arial" w:cs="Arial" w:eastAsia="Arial" w:hAnsi="Arial"/>
                <w:sz w:val="14"/>
                <w:szCs w:val="14"/>
                <w:b w:val="1"/>
                <w:bCs w:val="1"/>
                <w:color w:val="auto"/>
              </w:rPr>
              <w:t>Jun Masuda</w:t>
            </w:r>
          </w:p>
        </w:tc>
        <w:tc>
          <w:tcPr>
            <w:tcW w:w="3580" w:type="dxa"/>
            <w:vAlign w:val="bottom"/>
            <w:shd w:val="clear" w:color="auto" w:fill="F1F2F2"/>
          </w:tcPr>
          <w:p>
            <w:pPr>
              <w:spacing w:after="0"/>
              <w:rPr>
                <w:sz w:val="20"/>
                <w:szCs w:val="20"/>
                <w:color w:val="auto"/>
              </w:rPr>
            </w:pPr>
          </w:p>
        </w:tc>
        <w:tc>
          <w:tcPr>
            <w:tcW w:w="2100" w:type="dxa"/>
            <w:vAlign w:val="bottom"/>
            <w:shd w:val="clear" w:color="auto" w:fill="F1F2F2"/>
          </w:tcPr>
          <w:p>
            <w:pPr>
              <w:spacing w:after="0"/>
              <w:rPr>
                <w:sz w:val="20"/>
                <w:szCs w:val="20"/>
                <w:color w:val="auto"/>
              </w:rPr>
            </w:pPr>
          </w:p>
        </w:tc>
        <w:tc>
          <w:tcPr>
            <w:tcW w:w="2360" w:type="dxa"/>
            <w:vAlign w:val="bottom"/>
            <w:shd w:val="clear" w:color="auto" w:fill="F1F2F2"/>
          </w:tcPr>
          <w:p>
            <w:pPr>
              <w:jc w:val="center"/>
              <w:ind w:left="68"/>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222"/>
        </w:trPr>
        <w:tc>
          <w:tcPr>
            <w:tcW w:w="3200" w:type="dxa"/>
            <w:vAlign w:val="bottom"/>
          </w:tcPr>
          <w:p>
            <w:pPr>
              <w:ind w:left="100"/>
              <w:spacing w:after="0"/>
              <w:rPr>
                <w:sz w:val="20"/>
                <w:szCs w:val="20"/>
                <w:color w:val="auto"/>
              </w:rPr>
            </w:pPr>
            <w:r>
              <w:rPr>
                <w:rFonts w:ascii="Arial" w:cs="Arial" w:eastAsia="Arial" w:hAnsi="Arial"/>
                <w:sz w:val="14"/>
                <w:szCs w:val="14"/>
                <w:b w:val="1"/>
                <w:bCs w:val="1"/>
                <w:color w:val="auto"/>
              </w:rPr>
              <w:t>Isabelle Winkles</w:t>
            </w:r>
          </w:p>
        </w:tc>
        <w:tc>
          <w:tcPr>
            <w:tcW w:w="3580" w:type="dxa"/>
            <w:vAlign w:val="bottom"/>
          </w:tcPr>
          <w:p>
            <w:pPr>
              <w:jc w:val="center"/>
              <w:ind w:left="1288"/>
              <w:spacing w:after="0"/>
              <w:rPr>
                <w:sz w:val="20"/>
                <w:szCs w:val="20"/>
                <w:color w:val="auto"/>
              </w:rPr>
            </w:pPr>
            <w:r>
              <w:rPr>
                <w:rFonts w:ascii="Arial" w:cs="Arial" w:eastAsia="Arial" w:hAnsi="Arial"/>
                <w:sz w:val="14"/>
                <w:szCs w:val="14"/>
                <w:color w:val="auto"/>
              </w:rPr>
              <w:t>X (Chairperson)</w:t>
            </w:r>
          </w:p>
        </w:tc>
        <w:tc>
          <w:tcPr>
            <w:tcW w:w="210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3200" w:type="dxa"/>
            <w:vAlign w:val="bottom"/>
            <w:tcBorders>
              <w:bottom w:val="single" w:sz="8" w:color="auto"/>
            </w:tcBorders>
            <w:shd w:val="clear" w:color="auto" w:fill="F1F2F2"/>
          </w:tcPr>
          <w:p>
            <w:pPr>
              <w:ind w:left="100"/>
              <w:spacing w:after="0"/>
              <w:rPr>
                <w:sz w:val="20"/>
                <w:szCs w:val="20"/>
                <w:color w:val="auto"/>
              </w:rPr>
            </w:pPr>
            <w:r>
              <w:rPr>
                <w:rFonts w:ascii="Arial" w:cs="Arial" w:eastAsia="Arial" w:hAnsi="Arial"/>
                <w:sz w:val="14"/>
                <w:szCs w:val="14"/>
                <w:b w:val="1"/>
                <w:bCs w:val="1"/>
                <w:color w:val="auto"/>
              </w:rPr>
              <w:t>Saeju Jeong</w:t>
            </w:r>
          </w:p>
        </w:tc>
        <w:tc>
          <w:tcPr>
            <w:tcW w:w="3580" w:type="dxa"/>
            <w:vAlign w:val="bottom"/>
            <w:tcBorders>
              <w:bottom w:val="single" w:sz="8" w:color="auto"/>
            </w:tcBorders>
            <w:shd w:val="clear" w:color="auto" w:fill="F1F2F2"/>
          </w:tcPr>
          <w:p>
            <w:pPr>
              <w:jc w:val="center"/>
              <w:ind w:left="1288"/>
              <w:spacing w:after="0"/>
              <w:rPr>
                <w:sz w:val="20"/>
                <w:szCs w:val="20"/>
                <w:color w:val="auto"/>
              </w:rPr>
            </w:pPr>
            <w:r>
              <w:rPr>
                <w:rFonts w:ascii="Arial" w:cs="Arial" w:eastAsia="Arial" w:hAnsi="Arial"/>
                <w:sz w:val="14"/>
                <w:szCs w:val="14"/>
                <w:color w:val="auto"/>
              </w:rPr>
              <w:t>X</w:t>
            </w:r>
          </w:p>
        </w:tc>
        <w:tc>
          <w:tcPr>
            <w:tcW w:w="2100" w:type="dxa"/>
            <w:vAlign w:val="bottom"/>
            <w:tcBorders>
              <w:bottom w:val="single" w:sz="8" w:color="auto"/>
            </w:tcBorders>
            <w:shd w:val="clear" w:color="auto" w:fill="F1F2F2"/>
          </w:tcPr>
          <w:p>
            <w:pPr>
              <w:spacing w:after="0"/>
              <w:rPr>
                <w:sz w:val="20"/>
                <w:szCs w:val="20"/>
                <w:color w:val="auto"/>
              </w:rPr>
            </w:pPr>
          </w:p>
        </w:tc>
        <w:tc>
          <w:tcPr>
            <w:tcW w:w="2360" w:type="dxa"/>
            <w:vAlign w:val="bottom"/>
            <w:tcBorders>
              <w:bottom w:val="single" w:sz="8" w:color="auto"/>
            </w:tcBorders>
            <w:shd w:val="clear" w:color="auto" w:fill="F1F2F2"/>
          </w:tcPr>
          <w:p>
            <w:pPr>
              <w:spacing w:after="0"/>
              <w:rPr>
                <w:sz w:val="20"/>
                <w:szCs w:val="20"/>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Audit Committee</w:t>
      </w:r>
    </w:p>
    <w:p>
      <w:pPr>
        <w:spacing w:after="0" w:line="154"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Our Audit Committee consists of Isabelle Winkles, Nancy Dubuc and Saeju Jeong, with Isabelle Winkles serving as chairperson. Our Board has affirmatively determined that Isabelle Winkles, Nancy Dubuc and Saeju Jeong meet the independence requirements of Rule 10A-3 under the Exchange Act and the listing standards of Nasdaq. Our Board has determined that each member of the Audit Committee is an “audit committee financial expert” as such term is defined in Item 407(d)(5) of Regulation S-K and has the requisite financial sophistication as defined under the applicable rules and regulations.</w:t>
      </w:r>
    </w:p>
    <w:p>
      <w:pPr>
        <w:spacing w:after="0" w:line="128" w:lineRule="exact"/>
        <w:rPr>
          <w:sz w:val="20"/>
          <w:szCs w:val="20"/>
          <w:color w:val="auto"/>
        </w:rPr>
      </w:pPr>
    </w:p>
    <w:p>
      <w:pPr>
        <w:jc w:val="both"/>
        <w:ind w:right="300"/>
        <w:spacing w:after="0" w:line="319" w:lineRule="auto"/>
        <w:rPr>
          <w:sz w:val="20"/>
          <w:szCs w:val="20"/>
          <w:color w:val="auto"/>
        </w:rPr>
      </w:pPr>
      <w:r>
        <w:rPr>
          <w:rFonts w:ascii="Arial" w:cs="Arial" w:eastAsia="Arial" w:hAnsi="Arial"/>
          <w:sz w:val="16"/>
          <w:szCs w:val="16"/>
          <w:color w:val="auto"/>
        </w:rPr>
        <w:t>Under Rule 10A-3 of the Exchange Act and the Nasdaq listing rules, our Audit Committee is required to be composed of at least three members, each of whom must be independent within one year of listing. We are in compliance with the applicable audit committee rules and all of the directors on our Audit Committee are independent.</w:t>
      </w:r>
    </w:p>
    <w:p>
      <w:pPr>
        <w:spacing w:after="0" w:line="117" w:lineRule="exact"/>
        <w:rPr>
          <w:sz w:val="20"/>
          <w:szCs w:val="20"/>
          <w:color w:val="auto"/>
        </w:rPr>
      </w:pPr>
    </w:p>
    <w:p>
      <w:pPr>
        <w:ind w:right="80"/>
        <w:spacing w:after="0" w:line="310" w:lineRule="auto"/>
        <w:rPr>
          <w:sz w:val="20"/>
          <w:szCs w:val="20"/>
          <w:color w:val="auto"/>
        </w:rPr>
      </w:pPr>
      <w:r>
        <w:rPr>
          <w:rFonts w:ascii="Arial" w:cs="Arial" w:eastAsia="Arial" w:hAnsi="Arial"/>
          <w:sz w:val="16"/>
          <w:szCs w:val="16"/>
          <w:color w:val="auto"/>
        </w:rPr>
        <w:t>The Audit Committee is responsible for, among other matters, (1) appointing, compensating, retaining, evaluating, terminating and overseeing our independent registered public accounting firm, (2) discussing with our independent registered public accounting firm its independence from us, (3) reviewing with our independent registered public accounting firm the matters</w:t>
      </w:r>
    </w:p>
    <w:p>
      <w:pPr>
        <w:spacing w:after="0" w:line="200" w:lineRule="exact"/>
        <w:rPr>
          <w:sz w:val="20"/>
          <w:szCs w:val="20"/>
          <w:color w:val="auto"/>
        </w:rPr>
      </w:pPr>
    </w:p>
    <w:p>
      <w:pPr>
        <w:spacing w:after="0" w:line="246" w:lineRule="exact"/>
        <w:rPr>
          <w:sz w:val="20"/>
          <w:szCs w:val="20"/>
          <w:color w:val="auto"/>
        </w:rPr>
      </w:pPr>
    </w:p>
    <w:p>
      <w:pPr>
        <w:ind w:left="20"/>
        <w:spacing w:after="0"/>
        <w:tabs>
          <w:tab w:leader="none" w:pos="5360" w:val="left"/>
        </w:tabs>
        <w:rPr>
          <w:sz w:val="20"/>
          <w:szCs w:val="20"/>
          <w:color w:val="auto"/>
        </w:rPr>
      </w:pPr>
      <w:r>
        <w:rPr>
          <w:rFonts w:ascii="Arial" w:cs="Arial" w:eastAsia="Arial" w:hAnsi="Arial"/>
          <w:sz w:val="14"/>
          <w:szCs w:val="14"/>
          <w:b w:val="1"/>
          <w:bCs w:val="1"/>
          <w:color w:val="auto"/>
        </w:rPr>
        <w:t>16</w:t>
      </w:r>
      <w:r>
        <w:rPr>
          <w:sz w:val="20"/>
          <w:szCs w:val="20"/>
          <w:color w:val="auto"/>
        </w:rPr>
        <w:tab/>
      </w:r>
      <w:r>
        <w:rPr>
          <w:sz w:val="1"/>
          <w:szCs w:val="1"/>
          <w:color w:val="auto"/>
        </w:rPr>
        <w:drawing>
          <wp:inline distT="0" distB="0" distL="0" distR="0">
            <wp:extent cx="282575" cy="274320"/>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82575" cy="274320"/>
                    </a:xfrm>
                    <a:prstGeom prst="rect">
                      <a:avLst/>
                    </a:prstGeom>
                    <a:noFill/>
                    <a:ln>
                      <a:noFill/>
                    </a:ln>
                  </pic:spPr>
                </pic:pic>
              </a:graphicData>
            </a:graphic>
          </wp:inline>
        </w:drawing>
      </w:r>
      <w:r>
        <w:rPr>
          <w:rFonts w:ascii="Arial" w:cs="Arial" w:eastAsia="Arial" w:hAnsi="Arial"/>
          <w:sz w:val="14"/>
          <w:szCs w:val="14"/>
          <w:b w:val="1"/>
          <w:bCs w:val="1"/>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0" w:name="page21"/>
    <w:bookmarkEnd w:id="20"/>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required to be reviewed by applicable auditing requirements, (4) approving all audit and permissible non-audit services to be performed by our independent registered public accounting firm, (5) overseeing the financial reporting process and discussing with management and our independent registered public accounting firm the quarterly and annual financial statements that we file with the SEC, (6) reviewing and monitoring our internal controls, disclosure controls and procedures and compliance with legal and regulatory requirements, (7) establishing procedures for the confidential anonymous submission of concerns regarding questionable accounting, internal controls, auditing and federal securities law matters and (8) reviewing and approving related person transactions.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Committee</w:t>
      </w:r>
    </w:p>
    <w:p>
      <w:pPr>
        <w:spacing w:after="0" w:line="154"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Our Compensation Committee consists of Haejin Lee, Nancy Dubuc and Namsun Kim, with Haejin Lee serving as chairperson. We rely on the controlled company exemption from the director independence requirements of Nasdaq relating to the composition of the Compensation Committee. Our Board has affirmatively determined that Nancy Dubuc meets the independence requirements under the Exchange Act and the listing standards of Nasdaq applicable to Compensation Committees.</w:t>
      </w:r>
    </w:p>
    <w:p>
      <w:pPr>
        <w:spacing w:after="0" w:line="128" w:lineRule="exact"/>
        <w:rPr>
          <w:sz w:val="20"/>
          <w:szCs w:val="20"/>
          <w:color w:val="auto"/>
        </w:rPr>
      </w:pPr>
    </w:p>
    <w:p>
      <w:pPr>
        <w:ind w:right="240"/>
        <w:spacing w:after="0" w:line="303" w:lineRule="auto"/>
        <w:rPr>
          <w:sz w:val="20"/>
          <w:szCs w:val="20"/>
          <w:color w:val="auto"/>
        </w:rPr>
      </w:pPr>
      <w:r>
        <w:rPr>
          <w:rFonts w:ascii="Arial" w:cs="Arial" w:eastAsia="Arial" w:hAnsi="Arial"/>
          <w:sz w:val="16"/>
          <w:szCs w:val="16"/>
          <w:color w:val="auto"/>
        </w:rPr>
        <w:t>The Compensation Committee is responsible for, among other matters, (1) reviewing executive officer compensation, (2) reviewing and approving or recommending to our Board or the independent directors, as applicable, the compensation of our directors, Chief Executive Officer and other executive officers, (3) reviewing and approving the terms of any employment agreements, severance arrangements, change in control protections, indemnification agreements and other similar arrangements between us and our officers and other key executives, (4) appointing and overseeing any compensation consultants, (5) reviewing with management our disclosures under the caption “Compensation Discussion and Analysis” in our periodic reports or proxy statements to be filed with the SEC, to the extent such caption is included in any such report or proxy statement and (6) administering our equity incentive plans, to the extent such authority is delegated by our Board.</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Nominating and Corporate Governance Committee</w:t>
      </w:r>
    </w:p>
    <w:p>
      <w:pPr>
        <w:spacing w:after="0" w:line="154" w:lineRule="exact"/>
        <w:rPr>
          <w:sz w:val="20"/>
          <w:szCs w:val="20"/>
          <w:color w:val="auto"/>
        </w:rPr>
      </w:pPr>
    </w:p>
    <w:p>
      <w:pPr>
        <w:ind w:right="100"/>
        <w:spacing w:after="0" w:line="319" w:lineRule="auto"/>
        <w:rPr>
          <w:sz w:val="20"/>
          <w:szCs w:val="20"/>
          <w:color w:val="auto"/>
        </w:rPr>
      </w:pPr>
      <w:r>
        <w:rPr>
          <w:rFonts w:ascii="Arial" w:cs="Arial" w:eastAsia="Arial" w:hAnsi="Arial"/>
          <w:sz w:val="16"/>
          <w:szCs w:val="16"/>
          <w:color w:val="auto"/>
        </w:rPr>
        <w:t>Our Nominating and Corporate Governance Committee consists of Junkoo Kim, Namsun Kim and Jun Masuda, with Junkoo Kim serving as chairperson. The composition of our Nominating and Corporate Governance Committee meets the requirements for independence under current rules and regulations of the SEC and Nasdaq, including Nasdaq’s controlled company exemption.</w:t>
      </w:r>
    </w:p>
    <w:p>
      <w:pPr>
        <w:spacing w:after="0" w:line="103" w:lineRule="exact"/>
        <w:rPr>
          <w:sz w:val="20"/>
          <w:szCs w:val="20"/>
          <w:color w:val="auto"/>
        </w:rPr>
      </w:pPr>
    </w:p>
    <w:p>
      <w:pPr>
        <w:ind w:right="20"/>
        <w:spacing w:after="0" w:line="309" w:lineRule="auto"/>
        <w:rPr>
          <w:sz w:val="20"/>
          <w:szCs w:val="20"/>
          <w:color w:val="auto"/>
        </w:rPr>
      </w:pPr>
      <w:r>
        <w:rPr>
          <w:rFonts w:ascii="Arial" w:cs="Arial" w:eastAsia="Arial" w:hAnsi="Arial"/>
          <w:sz w:val="16"/>
          <w:szCs w:val="16"/>
          <w:color w:val="auto"/>
        </w:rPr>
        <w:t>The Nominating and Corporate Governance Committee is responsible for, among other matters, (1) identifying individuals qualified to become members of our Board, consistent with the terms of our Certificate of Incorporation, the Stockholder Agreements and criteria approved by our Board, (2) overseeing the organization of our Board to discharge the Board’s duties and responsibilities properly and efficiently, (3) developing and recommending to our Board a set of corporate governance guidelines and principles and (4) reviewing and discussing with management disclosure of the Company’s corporate governance practices.</w:t>
      </w:r>
    </w:p>
    <w:p>
      <w:pPr>
        <w:spacing w:after="0" w:line="143" w:lineRule="exact"/>
        <w:rPr>
          <w:sz w:val="20"/>
          <w:szCs w:val="20"/>
          <w:color w:val="auto"/>
        </w:rPr>
      </w:pPr>
    </w:p>
    <w:p>
      <w:pPr>
        <w:spacing w:after="0"/>
        <w:rPr>
          <w:sz w:val="20"/>
          <w:szCs w:val="20"/>
          <w:color w:val="auto"/>
        </w:rPr>
      </w:pPr>
      <w:r>
        <w:rPr>
          <w:rFonts w:ascii="Arial" w:cs="Arial" w:eastAsia="Arial" w:hAnsi="Arial"/>
          <w:sz w:val="20"/>
          <w:szCs w:val="20"/>
          <w:b w:val="1"/>
          <w:bCs w:val="1"/>
          <w:color w:val="00DC64"/>
        </w:rPr>
        <w:t>BOARD LEADERSHIP STRUCTURE</w:t>
      </w:r>
    </w:p>
    <w:p>
      <w:pPr>
        <w:spacing w:after="0" w:line="198"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The following section describes the Board leadership structure, the reasons the Board considers this structure to be appropriate at this time, the roles of various positions, and related key governance practices. Our Board believes that the mix of experienced independent directors and directors affiliated with our principal stockholders, NAVER and LY Corporation, that currently make up the Board and the Board committee composition benefit the Company and its stockholders.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Leadership</w:t>
      </w:r>
    </w:p>
    <w:p>
      <w:pPr>
        <w:spacing w:after="0" w:line="154"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Junkoo Kim currently serves as the Chairman of the Board and Chief Executive Officer. The Board annually elects one of its members as a chairperson of the Board. Both independent and management directors, including the Chief Executive Officer, are eligible for appointment as the chairperson. The Company will appropriately disclose the name of the chairperson and the method by which interested parties may contact members of the Board or the Board as a whole.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304800</wp:posOffset>
            </wp:positionV>
            <wp:extent cx="282575" cy="2743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82575"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280" w:type="dxa"/>
            <w:vAlign w:val="bottom"/>
          </w:tcPr>
          <w:p>
            <w:pPr>
              <w:ind w:left="20"/>
              <w:spacing w:after="0"/>
              <w:rPr>
                <w:sz w:val="20"/>
                <w:szCs w:val="20"/>
                <w:color w:val="auto"/>
              </w:rPr>
            </w:pPr>
            <w:r>
              <w:rPr>
                <w:rFonts w:ascii="Arial" w:cs="Arial" w:eastAsia="Arial" w:hAnsi="Arial"/>
                <w:sz w:val="14"/>
                <w:szCs w:val="14"/>
                <w:b w:val="1"/>
                <w:bCs w:val="1"/>
                <w:color w:val="auto"/>
              </w:rPr>
              <w:t>2026 Proxy Statement</w:t>
            </w:r>
          </w:p>
        </w:tc>
        <w:tc>
          <w:tcPr>
            <w:tcW w:w="4960" w:type="dxa"/>
            <w:vAlign w:val="bottom"/>
          </w:tcPr>
          <w:p>
            <w:pPr>
              <w:jc w:val="right"/>
              <w:spacing w:after="0"/>
              <w:rPr>
                <w:sz w:val="20"/>
                <w:szCs w:val="20"/>
                <w:color w:val="auto"/>
              </w:rPr>
            </w:pPr>
            <w:r>
              <w:rPr>
                <w:rFonts w:ascii="Arial" w:cs="Arial" w:eastAsia="Arial" w:hAnsi="Arial"/>
                <w:sz w:val="14"/>
                <w:szCs w:val="14"/>
                <w:b w:val="1"/>
                <w:bCs w:val="1"/>
                <w:color w:val="auto"/>
              </w:rPr>
              <w:t>17</w:t>
            </w:r>
          </w:p>
        </w:tc>
      </w:tr>
      <w:tr>
        <w:trPr>
          <w:trHeight w:val="373"/>
        </w:trPr>
        <w:tc>
          <w:tcPr>
            <w:tcW w:w="6280" w:type="dxa"/>
            <w:vAlign w:val="bottom"/>
            <w:tcBorders>
              <w:bottom w:val="single" w:sz="8" w:color="9A9A9A"/>
            </w:tcBorders>
          </w:tcPr>
          <w:p>
            <w:pPr>
              <w:spacing w:after="0"/>
              <w:rPr>
                <w:sz w:val="24"/>
                <w:szCs w:val="24"/>
                <w:color w:val="auto"/>
              </w:rPr>
            </w:pPr>
          </w:p>
        </w:tc>
        <w:tc>
          <w:tcPr>
            <w:tcW w:w="4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1" w:name="page22"/>
    <w:bookmarkEnd w:id="21"/>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right="300"/>
        <w:spacing w:after="0" w:line="339" w:lineRule="auto"/>
        <w:rPr>
          <w:sz w:val="20"/>
          <w:szCs w:val="20"/>
          <w:color w:val="auto"/>
        </w:rPr>
      </w:pPr>
      <w:r>
        <w:rPr>
          <w:rFonts w:ascii="Arial" w:cs="Arial" w:eastAsia="Arial" w:hAnsi="Arial"/>
          <w:sz w:val="16"/>
          <w:szCs w:val="16"/>
          <w:color w:val="auto"/>
        </w:rPr>
        <w:t>The Board conducts an annual assessment of its leadership structure to determine that the leadership structure is the most appropriate for the Company, taking into account the recommendations of the Nominating and Corporate Governance Committee.</w:t>
      </w:r>
    </w:p>
    <w:p>
      <w:pPr>
        <w:spacing w:after="0" w:line="101"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color w:val="auto"/>
        </w:rPr>
        <w:t>The Board believes that it is in the best interests of the Company and its stockholders for Junkoo Kim to serve as both Chairman of the Board and Chief Executive Officer, given his knowledge of the Company, our industry and his strategic vision. Specifically, given the global operations of the Company, we believe the combined role enhances our ability to communicate our message and strategy clearly and consistently to our stockholders, employees and users, and provides for a single and clear focus for the chain of command. The Company currently does not have a lead independent director.</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Independence</w:t>
      </w:r>
    </w:p>
    <w:p>
      <w:pPr>
        <w:spacing w:after="0" w:line="140" w:lineRule="exact"/>
        <w:rPr>
          <w:sz w:val="20"/>
          <w:szCs w:val="20"/>
          <w:color w:val="auto"/>
        </w:rPr>
      </w:pPr>
    </w:p>
    <w:p>
      <w:pPr>
        <w:ind w:right="40"/>
        <w:spacing w:after="0" w:line="309" w:lineRule="auto"/>
        <w:rPr>
          <w:sz w:val="20"/>
          <w:szCs w:val="20"/>
          <w:color w:val="auto"/>
        </w:rPr>
      </w:pPr>
      <w:r>
        <w:rPr>
          <w:rFonts w:ascii="Arial" w:cs="Arial" w:eastAsia="Arial" w:hAnsi="Arial"/>
          <w:sz w:val="16"/>
          <w:szCs w:val="16"/>
          <w:color w:val="auto"/>
        </w:rPr>
        <w:t>Our Board believes it has an effective mix of independent directors and non-independent directors. Our Board includes Haejin Lee and Namsun Kim, two representatives from NAVER, our majority stockholder, and Jun Masuda, a representative from LY Corporation, our significant stockholder. Our Board also includes three independent directors: Isabelle Winkles, Nancy Dubuc and Saeju Jeong. In addition, our Chief Executive Officer, Junkoo Kim, President, Yongsoo Kim, and Chief Financial Officer and President of Wattpad Corp., David J. Lee, each serves on the Board, providing valuable insight as an officer of the Company.</w:t>
      </w:r>
    </w:p>
    <w:p>
      <w:pPr>
        <w:spacing w:after="0" w:line="143" w:lineRule="exact"/>
        <w:rPr>
          <w:sz w:val="20"/>
          <w:szCs w:val="20"/>
          <w:color w:val="auto"/>
        </w:rPr>
      </w:pPr>
    </w:p>
    <w:p>
      <w:pPr>
        <w:spacing w:after="0"/>
        <w:rPr>
          <w:sz w:val="20"/>
          <w:szCs w:val="20"/>
          <w:color w:val="auto"/>
        </w:rPr>
      </w:pPr>
      <w:r>
        <w:rPr>
          <w:rFonts w:ascii="Arial" w:cs="Arial" w:eastAsia="Arial" w:hAnsi="Arial"/>
          <w:sz w:val="20"/>
          <w:szCs w:val="20"/>
          <w:b w:val="1"/>
          <w:bCs w:val="1"/>
          <w:color w:val="00DC64"/>
        </w:rPr>
        <w:t>INSIDER TRADING AND HEDGING TRANSACTIONS</w:t>
      </w:r>
    </w:p>
    <w:p>
      <w:pPr>
        <w:spacing w:after="0" w:line="198"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Our Board has adopted an insider trading policy (“Insider Trading Policy”) to promote compliance with federal, state and foreign securities laws that prohibit certain persons who are aware of material nonpublic information about the Company from trading in Company securities or providing material nonpublic information to other persons who may trade on the basis of that information. Pursuant to our Insider Trading Policy, we also prohibit our employees, directors, officers, and certain family members of such employees, directors and officers, and certain persons and entities controlled or influenced by such employees, directors and officers (such foregoing persons or entities, collectively, the “Restricted Persons”) from engaging in hedging transactions, including through the use of financial instruments such as prepaid variable forwards, equity swaps, collars and exchange funds. Additionally, the Restricted Persons are prohibited from holding our securities in a margin account or otherwise pledging our securities as collateral for a loan. A copy of our Insider Trading Policy was filed as Exhibit 19.1 to our Annual Report on Form 10-K for the year ended December 31, 2025.</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color w:val="00DC64"/>
        </w:rPr>
        <w:t>ROLE OF THE BOARD OF DIRECTORS IN RISK OVERSIGHT</w:t>
      </w:r>
    </w:p>
    <w:p>
      <w:pPr>
        <w:spacing w:after="0" w:line="198"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One of the key functions of our Board is informed oversight of our risk management process. Our Board administers this oversight function directly through our Board as a whole, as well as through various standing committees of our Board that address risks inherent in their respective areas of oversight. In particular, our Board is responsible for understanding the principal risks associated with the Company’s business on an ongoing basis, and overseeing the key risk decisions of management, which includes comprehending the appropriate balance between risks and rewards. Our Audit Committee, among other things, has the responsibility to review and discuss with management the risks faced by the Company and the policies, guidelines and process by which management assesses and manages the Company’s risks, including the Company’s major financial risk exposure and cybersecurity risks and the steps management has taken to monitor and control such exposures. The Audit Committee also has the responsibility to monitor compliance with legal and regulatory requirements and review with our independent auditors the adequacy and effectiveness of our internal control over financial reporting. Our Nominating and Corporate Governance Committee is responsible for periodically evaluating our corporate governance policies, guidelines and documents in light of the governance risks that we face and the adequacy of our policies and procedures designed to address such risks. Our Compensation Committee has the responsibility to review incentive compensation arrangements to determine whether they encourage excessive risk-taking, review and discuss at least annually the relationship between risk management policies and practices and compensation, and evaluate compensation policies and practices that could mitigate risks.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20"/>
        <w:spacing w:after="0"/>
        <w:tabs>
          <w:tab w:leader="none" w:pos="5360" w:val="left"/>
        </w:tabs>
        <w:rPr>
          <w:sz w:val="20"/>
          <w:szCs w:val="20"/>
          <w:color w:val="auto"/>
        </w:rPr>
      </w:pPr>
      <w:r>
        <w:rPr>
          <w:rFonts w:ascii="Arial" w:cs="Arial" w:eastAsia="Arial" w:hAnsi="Arial"/>
          <w:sz w:val="14"/>
          <w:szCs w:val="14"/>
          <w:b w:val="1"/>
          <w:bCs w:val="1"/>
          <w:color w:val="auto"/>
        </w:rPr>
        <w:t>18</w:t>
      </w:r>
      <w:r>
        <w:rPr>
          <w:sz w:val="20"/>
          <w:szCs w:val="20"/>
          <w:color w:val="auto"/>
        </w:rPr>
        <w:tab/>
      </w:r>
      <w:r>
        <w:rPr>
          <w:sz w:val="1"/>
          <w:szCs w:val="1"/>
          <w:color w:val="auto"/>
        </w:rPr>
        <w:drawing>
          <wp:inline distT="0" distB="0" distL="0" distR="0">
            <wp:extent cx="282575" cy="274320"/>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82575" cy="274320"/>
                    </a:xfrm>
                    <a:prstGeom prst="rect">
                      <a:avLst/>
                    </a:prstGeom>
                    <a:noFill/>
                    <a:ln>
                      <a:noFill/>
                    </a:ln>
                  </pic:spPr>
                </pic:pic>
              </a:graphicData>
            </a:graphic>
          </wp:inline>
        </w:drawing>
      </w:r>
      <w:r>
        <w:rPr>
          <w:rFonts w:ascii="Arial" w:cs="Arial" w:eastAsia="Arial" w:hAnsi="Arial"/>
          <w:sz w:val="14"/>
          <w:szCs w:val="14"/>
          <w:b w:val="1"/>
          <w:bCs w:val="1"/>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2" w:name="page23"/>
    <w:bookmarkEnd w:id="22"/>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20"/>
          <w:szCs w:val="20"/>
          <w:b w:val="1"/>
          <w:bCs w:val="1"/>
          <w:color w:val="00DC64"/>
        </w:rPr>
        <w:t>CODE OF BUSINESS CONDUCT AND ETHICS</w:t>
      </w:r>
    </w:p>
    <w:p>
      <w:pPr>
        <w:spacing w:after="0" w:line="198"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We adopted a general code of ethics that applies to all of our employees, officers and directors, which is available on our website at https://ir.webtoon.com. We intend to disclose future amendments to certain provisions of our code of ethics, or waivers of certain provisions as they relate to our directors and executive officers, at the same location on our website or otherwise as required by applicable law. The information on our website is not intended to form a part of or be incorporated by reference into this Proxy Statement.</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00DC64"/>
        </w:rPr>
        <w:t>CORPORATE GOVERNANCE GUIDELINES</w:t>
      </w:r>
    </w:p>
    <w:p>
      <w:pPr>
        <w:spacing w:after="0" w:line="185" w:lineRule="exact"/>
        <w:rPr>
          <w:sz w:val="20"/>
          <w:szCs w:val="20"/>
          <w:color w:val="auto"/>
        </w:rPr>
      </w:pPr>
    </w:p>
    <w:p>
      <w:pPr>
        <w:ind w:right="80"/>
        <w:spacing w:after="0" w:line="303" w:lineRule="auto"/>
        <w:rPr>
          <w:sz w:val="20"/>
          <w:szCs w:val="20"/>
          <w:color w:val="auto"/>
        </w:rPr>
      </w:pPr>
      <w:r>
        <w:rPr>
          <w:rFonts w:ascii="Arial" w:cs="Arial" w:eastAsia="Arial" w:hAnsi="Arial"/>
          <w:sz w:val="16"/>
          <w:szCs w:val="16"/>
          <w:color w:val="auto"/>
        </w:rPr>
        <w:t>We adopted corporate governance guidelines that serve as a flexible framework within which our Board and its committees operate. These guidelines cover a number of areas including Board membership criteria and director qualifications, director responsibilities, Board agenda, roles of the chair of the Board, meetings of the Board, meetings of independent directors, Board member access to management and outside advisors, funding of the Board, director compensation, director onboarding and continuing education, evaluation and compensation of executive officers, and management succession planning. A copy of our corporate governance guidelines is available on our website at https://ir.webtoon.com. The information on our website is not intended to form a part of or be incorporated by reference into this Proxy Statement.</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00DC64"/>
        </w:rPr>
        <w:t>COMPENSATION COMMITTEE INTERLOCKS AND INSIDER PARTICIPATION</w:t>
      </w:r>
    </w:p>
    <w:p>
      <w:pPr>
        <w:spacing w:after="0" w:line="198" w:lineRule="exact"/>
        <w:rPr>
          <w:sz w:val="20"/>
          <w:szCs w:val="20"/>
          <w:color w:val="auto"/>
        </w:rPr>
      </w:pPr>
    </w:p>
    <w:p>
      <w:pPr>
        <w:ind w:right="100"/>
        <w:spacing w:after="0" w:line="310" w:lineRule="auto"/>
        <w:rPr>
          <w:sz w:val="20"/>
          <w:szCs w:val="20"/>
          <w:color w:val="auto"/>
        </w:rPr>
      </w:pPr>
      <w:r>
        <w:rPr>
          <w:rFonts w:ascii="Arial" w:cs="Arial" w:eastAsia="Arial" w:hAnsi="Arial"/>
          <w:sz w:val="16"/>
          <w:szCs w:val="16"/>
          <w:color w:val="auto"/>
        </w:rPr>
        <w:t>None of our executive officers currently serves or has served during our last completed fiscal year as a member of the board of directors or compensation committee (or other committee performing equivalent functions) of any entity that has one or more executive officers serving on our Board or Compensation Committee.</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color w:val="00DC64"/>
        </w:rPr>
        <w:t>COMMUNICATIONS BY STOCKHOLDERS AND OTHER INTERESTED PARTIES WITH THE BOARD</w:t>
      </w:r>
    </w:p>
    <w:p>
      <w:pPr>
        <w:spacing w:after="0" w:line="198" w:lineRule="exact"/>
        <w:rPr>
          <w:sz w:val="20"/>
          <w:szCs w:val="20"/>
          <w:color w:val="auto"/>
        </w:rPr>
      </w:pPr>
    </w:p>
    <w:p>
      <w:pPr>
        <w:ind w:right="260"/>
        <w:spacing w:after="0" w:line="339" w:lineRule="auto"/>
        <w:rPr>
          <w:sz w:val="20"/>
          <w:szCs w:val="20"/>
          <w:color w:val="auto"/>
        </w:rPr>
      </w:pPr>
      <w:r>
        <w:rPr>
          <w:rFonts w:ascii="Arial" w:cs="Arial" w:eastAsia="Arial" w:hAnsi="Arial"/>
          <w:sz w:val="16"/>
          <w:szCs w:val="16"/>
          <w:color w:val="auto"/>
        </w:rPr>
        <w:t>Stockholders and other interested parties may contact an individual director, the Board as a group, or a specified Board committee or group, including the independent directors as a group, by sending regular mail to:</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WEBTOON Entertainment Inc.</w:t>
      </w:r>
    </w:p>
    <w:p>
      <w:pPr>
        <w:spacing w:after="0" w:line="208" w:lineRule="exact"/>
        <w:rPr>
          <w:sz w:val="20"/>
          <w:szCs w:val="20"/>
          <w:color w:val="auto"/>
        </w:rPr>
      </w:pPr>
    </w:p>
    <w:p>
      <w:pPr>
        <w:ind w:left="4480"/>
        <w:spacing w:after="0"/>
        <w:rPr>
          <w:sz w:val="20"/>
          <w:szCs w:val="20"/>
          <w:color w:val="auto"/>
        </w:rPr>
      </w:pPr>
      <w:r>
        <w:rPr>
          <w:rFonts w:ascii="Arial" w:cs="Arial" w:eastAsia="Arial" w:hAnsi="Arial"/>
          <w:sz w:val="16"/>
          <w:szCs w:val="16"/>
          <w:b w:val="1"/>
          <w:bCs w:val="1"/>
          <w:color w:val="auto"/>
        </w:rPr>
        <w:t>5700 Wilshire Blvd., Suite 220</w:t>
      </w:r>
    </w:p>
    <w:p>
      <w:pPr>
        <w:spacing w:after="0" w:line="46" w:lineRule="exact"/>
        <w:rPr>
          <w:sz w:val="20"/>
          <w:szCs w:val="20"/>
          <w:color w:val="auto"/>
        </w:rPr>
      </w:pPr>
    </w:p>
    <w:p>
      <w:pPr>
        <w:ind w:left="4480"/>
        <w:spacing w:after="0"/>
        <w:rPr>
          <w:sz w:val="20"/>
          <w:szCs w:val="20"/>
          <w:color w:val="auto"/>
        </w:rPr>
      </w:pPr>
      <w:r>
        <w:rPr>
          <w:rFonts w:ascii="Arial" w:cs="Arial" w:eastAsia="Arial" w:hAnsi="Arial"/>
          <w:sz w:val="16"/>
          <w:szCs w:val="16"/>
          <w:b w:val="1"/>
          <w:bCs w:val="1"/>
          <w:color w:val="auto"/>
        </w:rPr>
        <w:t>Los Angeles, California 90036</w:t>
      </w:r>
    </w:p>
    <w:p>
      <w:pPr>
        <w:spacing w:after="0" w:line="46" w:lineRule="exact"/>
        <w:rPr>
          <w:sz w:val="20"/>
          <w:szCs w:val="20"/>
          <w:color w:val="auto"/>
        </w:rPr>
      </w:pPr>
    </w:p>
    <w:p>
      <w:pPr>
        <w:ind w:left="4500"/>
        <w:spacing w:after="0"/>
        <w:rPr>
          <w:sz w:val="20"/>
          <w:szCs w:val="20"/>
          <w:color w:val="auto"/>
        </w:rPr>
      </w:pPr>
      <w:r>
        <w:rPr>
          <w:rFonts w:ascii="Arial" w:cs="Arial" w:eastAsia="Arial" w:hAnsi="Arial"/>
          <w:sz w:val="16"/>
          <w:szCs w:val="16"/>
          <w:b w:val="1"/>
          <w:bCs w:val="1"/>
          <w:color w:val="auto"/>
        </w:rPr>
        <w:t>Attention: Board of Directors</w:t>
      </w:r>
    </w:p>
    <w:p>
      <w:pPr>
        <w:spacing w:after="0" w:line="46" w:lineRule="exact"/>
        <w:rPr>
          <w:sz w:val="20"/>
          <w:szCs w:val="20"/>
          <w:color w:val="auto"/>
        </w:rPr>
      </w:pPr>
    </w:p>
    <w:p>
      <w:pPr>
        <w:ind w:left="3880"/>
        <w:spacing w:after="0"/>
        <w:rPr>
          <w:sz w:val="20"/>
          <w:szCs w:val="20"/>
          <w:color w:val="auto"/>
        </w:rPr>
      </w:pPr>
      <w:r>
        <w:rPr>
          <w:rFonts w:ascii="Arial" w:cs="Arial" w:eastAsia="Arial" w:hAnsi="Arial"/>
          <w:sz w:val="16"/>
          <w:szCs w:val="16"/>
          <w:b w:val="1"/>
          <w:bCs w:val="1"/>
          <w:color w:val="auto"/>
        </w:rPr>
        <w:t>c/o General Counsel and Corporate Secretary</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Phone: (213) 347-4841</w:t>
      </w:r>
    </w:p>
    <w:p>
      <w:pPr>
        <w:spacing w:after="0" w:line="201"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Each communication should specify which director or directors the communication is addressed to, as well as the general topic of the communication. The Company will receive the communications and process them before forwarding them to the addressee. The Company may also refer communications to other departments within the Company. The Company generally will not forward to the directors a communication that is primarily commercial in nature, relates to an improper or irrelevant topic, or requests general information regarding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301625</wp:posOffset>
            </wp:positionV>
            <wp:extent cx="282575" cy="2743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82575"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280" w:type="dxa"/>
            <w:vAlign w:val="bottom"/>
          </w:tcPr>
          <w:p>
            <w:pPr>
              <w:ind w:left="20"/>
              <w:spacing w:after="0"/>
              <w:rPr>
                <w:sz w:val="20"/>
                <w:szCs w:val="20"/>
                <w:color w:val="auto"/>
              </w:rPr>
            </w:pPr>
            <w:r>
              <w:rPr>
                <w:rFonts w:ascii="Arial" w:cs="Arial" w:eastAsia="Arial" w:hAnsi="Arial"/>
                <w:sz w:val="14"/>
                <w:szCs w:val="14"/>
                <w:b w:val="1"/>
                <w:bCs w:val="1"/>
                <w:color w:val="auto"/>
              </w:rPr>
              <w:t>2026 Proxy Statement</w:t>
            </w:r>
          </w:p>
        </w:tc>
        <w:tc>
          <w:tcPr>
            <w:tcW w:w="4960" w:type="dxa"/>
            <w:vAlign w:val="bottom"/>
          </w:tcPr>
          <w:p>
            <w:pPr>
              <w:jc w:val="right"/>
              <w:spacing w:after="0"/>
              <w:rPr>
                <w:sz w:val="20"/>
                <w:szCs w:val="20"/>
                <w:color w:val="auto"/>
              </w:rPr>
            </w:pPr>
            <w:r>
              <w:rPr>
                <w:rFonts w:ascii="Arial" w:cs="Arial" w:eastAsia="Arial" w:hAnsi="Arial"/>
                <w:sz w:val="14"/>
                <w:szCs w:val="14"/>
                <w:b w:val="1"/>
                <w:bCs w:val="1"/>
                <w:color w:val="auto"/>
              </w:rPr>
              <w:t>19</w:t>
            </w:r>
          </w:p>
        </w:tc>
      </w:tr>
      <w:tr>
        <w:trPr>
          <w:trHeight w:val="360"/>
        </w:trPr>
        <w:tc>
          <w:tcPr>
            <w:tcW w:w="6280" w:type="dxa"/>
            <w:vAlign w:val="bottom"/>
            <w:tcBorders>
              <w:bottom w:val="single" w:sz="8" w:color="9A9A9A"/>
            </w:tcBorders>
          </w:tcPr>
          <w:p>
            <w:pPr>
              <w:spacing w:after="0"/>
              <w:rPr>
                <w:sz w:val="24"/>
                <w:szCs w:val="24"/>
                <w:color w:val="auto"/>
              </w:rPr>
            </w:pPr>
          </w:p>
        </w:tc>
        <w:tc>
          <w:tcPr>
            <w:tcW w:w="4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3" w:name="page24"/>
    <w:bookmarkEnd w:id="23"/>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54"/>
          <w:szCs w:val="54"/>
          <w:b w:val="1"/>
          <w:bCs w:val="1"/>
          <w:color w:val="00DC64"/>
        </w:rPr>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right="260"/>
        <w:spacing w:after="0" w:line="321" w:lineRule="auto"/>
        <w:rPr>
          <w:sz w:val="20"/>
          <w:szCs w:val="20"/>
          <w:color w:val="auto"/>
        </w:rPr>
      </w:pPr>
      <w:r>
        <w:rPr>
          <w:rFonts w:ascii="Arial" w:cs="Arial" w:eastAsia="Arial" w:hAnsi="Arial"/>
          <w:sz w:val="16"/>
          <w:szCs w:val="16"/>
          <w:color w:val="auto"/>
        </w:rPr>
        <w:t>Below is a list of the names, ages, positions, and a brief account of the business experience of the individuals who currently serve as executive officers of the Company as of April 10, 2026:</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920" w:type="dxa"/>
            <w:vAlign w:val="bottom"/>
          </w:tcPr>
          <w:p>
            <w:pPr>
              <w:ind w:left="100"/>
              <w:spacing w:after="0"/>
              <w:rPr>
                <w:sz w:val="20"/>
                <w:szCs w:val="20"/>
                <w:color w:val="auto"/>
              </w:rPr>
            </w:pPr>
            <w:r>
              <w:rPr>
                <w:rFonts w:ascii="Arial" w:cs="Arial" w:eastAsia="Arial" w:hAnsi="Arial"/>
                <w:sz w:val="14"/>
                <w:szCs w:val="14"/>
                <w:b w:val="1"/>
                <w:bCs w:val="1"/>
                <w:color w:val="auto"/>
              </w:rPr>
              <w:t>Name</w:t>
            </w:r>
          </w:p>
        </w:tc>
        <w:tc>
          <w:tcPr>
            <w:tcW w:w="1480" w:type="dxa"/>
            <w:vAlign w:val="bottom"/>
          </w:tcPr>
          <w:p>
            <w:pPr>
              <w:jc w:val="center"/>
              <w:ind w:left="508"/>
              <w:spacing w:after="0"/>
              <w:rPr>
                <w:sz w:val="20"/>
                <w:szCs w:val="20"/>
                <w:color w:val="auto"/>
              </w:rPr>
            </w:pPr>
            <w:r>
              <w:rPr>
                <w:rFonts w:ascii="Arial" w:cs="Arial" w:eastAsia="Arial" w:hAnsi="Arial"/>
                <w:sz w:val="14"/>
                <w:szCs w:val="14"/>
                <w:b w:val="1"/>
                <w:bCs w:val="1"/>
                <w:color w:val="auto"/>
                <w:w w:val="98"/>
              </w:rPr>
              <w:t>Age</w:t>
            </w:r>
          </w:p>
        </w:tc>
        <w:tc>
          <w:tcPr>
            <w:tcW w:w="7840" w:type="dxa"/>
            <w:vAlign w:val="bottom"/>
          </w:tcPr>
          <w:p>
            <w:pPr>
              <w:ind w:left="300"/>
              <w:spacing w:after="0"/>
              <w:rPr>
                <w:sz w:val="20"/>
                <w:szCs w:val="20"/>
                <w:color w:val="auto"/>
              </w:rPr>
            </w:pPr>
            <w:r>
              <w:rPr>
                <w:rFonts w:ascii="Arial" w:cs="Arial" w:eastAsia="Arial" w:hAnsi="Arial"/>
                <w:sz w:val="14"/>
                <w:szCs w:val="14"/>
                <w:b w:val="1"/>
                <w:bCs w:val="1"/>
                <w:color w:val="auto"/>
              </w:rPr>
              <w:t>Position</w:t>
            </w:r>
          </w:p>
        </w:tc>
      </w:tr>
      <w:tr>
        <w:trPr>
          <w:trHeight w:val="110"/>
        </w:trPr>
        <w:tc>
          <w:tcPr>
            <w:tcW w:w="19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7840" w:type="dxa"/>
            <w:vAlign w:val="bottom"/>
          </w:tcPr>
          <w:p>
            <w:pPr>
              <w:spacing w:after="0"/>
              <w:rPr>
                <w:sz w:val="9"/>
                <w:szCs w:val="9"/>
                <w:color w:val="auto"/>
              </w:rPr>
            </w:pPr>
          </w:p>
        </w:tc>
      </w:tr>
      <w:tr>
        <w:trPr>
          <w:trHeight w:val="229"/>
        </w:trPr>
        <w:tc>
          <w:tcPr>
            <w:tcW w:w="1920" w:type="dxa"/>
            <w:vAlign w:val="bottom"/>
            <w:shd w:val="clear" w:color="auto" w:fill="F1F2F2"/>
          </w:tcPr>
          <w:p>
            <w:pPr>
              <w:ind w:left="100"/>
              <w:spacing w:after="0"/>
              <w:rPr>
                <w:sz w:val="20"/>
                <w:szCs w:val="20"/>
                <w:color w:val="auto"/>
              </w:rPr>
            </w:pPr>
            <w:r>
              <w:rPr>
                <w:rFonts w:ascii="Arial" w:cs="Arial" w:eastAsia="Arial" w:hAnsi="Arial"/>
                <w:sz w:val="14"/>
                <w:szCs w:val="14"/>
                <w:b w:val="1"/>
                <w:bCs w:val="1"/>
                <w:color w:val="auto"/>
              </w:rPr>
              <w:t>Junkoo Kim</w:t>
            </w:r>
          </w:p>
        </w:tc>
        <w:tc>
          <w:tcPr>
            <w:tcW w:w="1480" w:type="dxa"/>
            <w:vAlign w:val="bottom"/>
            <w:shd w:val="clear" w:color="auto" w:fill="F1F2F2"/>
          </w:tcPr>
          <w:p>
            <w:pPr>
              <w:jc w:val="center"/>
              <w:ind w:left="528"/>
              <w:spacing w:after="0"/>
              <w:rPr>
                <w:sz w:val="20"/>
                <w:szCs w:val="20"/>
                <w:color w:val="auto"/>
              </w:rPr>
            </w:pPr>
            <w:r>
              <w:rPr>
                <w:rFonts w:ascii="Arial" w:cs="Arial" w:eastAsia="Arial" w:hAnsi="Arial"/>
                <w:sz w:val="14"/>
                <w:szCs w:val="14"/>
                <w:color w:val="auto"/>
              </w:rPr>
              <w:t>48</w:t>
            </w:r>
          </w:p>
        </w:tc>
        <w:tc>
          <w:tcPr>
            <w:tcW w:w="7840" w:type="dxa"/>
            <w:vAlign w:val="bottom"/>
            <w:shd w:val="clear" w:color="auto" w:fill="F1F2F2"/>
          </w:tcPr>
          <w:p>
            <w:pPr>
              <w:ind w:left="300"/>
              <w:spacing w:after="0"/>
              <w:rPr>
                <w:sz w:val="20"/>
                <w:szCs w:val="20"/>
                <w:color w:val="auto"/>
              </w:rPr>
            </w:pPr>
            <w:r>
              <w:rPr>
                <w:rFonts w:ascii="Arial" w:cs="Arial" w:eastAsia="Arial" w:hAnsi="Arial"/>
                <w:sz w:val="14"/>
                <w:szCs w:val="14"/>
                <w:color w:val="auto"/>
              </w:rPr>
              <w:t>Chief Executive Officer</w:t>
            </w:r>
          </w:p>
        </w:tc>
      </w:tr>
      <w:tr>
        <w:trPr>
          <w:trHeight w:val="222"/>
        </w:trPr>
        <w:tc>
          <w:tcPr>
            <w:tcW w:w="1920" w:type="dxa"/>
            <w:vAlign w:val="bottom"/>
          </w:tcPr>
          <w:p>
            <w:pPr>
              <w:ind w:left="100"/>
              <w:spacing w:after="0"/>
              <w:rPr>
                <w:sz w:val="20"/>
                <w:szCs w:val="20"/>
                <w:color w:val="auto"/>
              </w:rPr>
            </w:pPr>
            <w:r>
              <w:rPr>
                <w:rFonts w:ascii="Arial" w:cs="Arial" w:eastAsia="Arial" w:hAnsi="Arial"/>
                <w:sz w:val="14"/>
                <w:szCs w:val="14"/>
                <w:b w:val="1"/>
                <w:bCs w:val="1"/>
                <w:color w:val="auto"/>
              </w:rPr>
              <w:t>Yongsoo Kim</w:t>
            </w:r>
          </w:p>
        </w:tc>
        <w:tc>
          <w:tcPr>
            <w:tcW w:w="1480" w:type="dxa"/>
            <w:vAlign w:val="bottom"/>
          </w:tcPr>
          <w:p>
            <w:pPr>
              <w:jc w:val="center"/>
              <w:ind w:left="528"/>
              <w:spacing w:after="0"/>
              <w:rPr>
                <w:sz w:val="20"/>
                <w:szCs w:val="20"/>
                <w:color w:val="auto"/>
              </w:rPr>
            </w:pPr>
            <w:r>
              <w:rPr>
                <w:rFonts w:ascii="Arial" w:cs="Arial" w:eastAsia="Arial" w:hAnsi="Arial"/>
                <w:sz w:val="14"/>
                <w:szCs w:val="14"/>
                <w:color w:val="auto"/>
              </w:rPr>
              <w:t>40</w:t>
            </w:r>
          </w:p>
        </w:tc>
        <w:tc>
          <w:tcPr>
            <w:tcW w:w="7840" w:type="dxa"/>
            <w:vAlign w:val="bottom"/>
          </w:tcPr>
          <w:p>
            <w:pPr>
              <w:ind w:left="300"/>
              <w:spacing w:after="0"/>
              <w:rPr>
                <w:sz w:val="20"/>
                <w:szCs w:val="20"/>
                <w:color w:val="auto"/>
              </w:rPr>
            </w:pPr>
            <w:r>
              <w:rPr>
                <w:rFonts w:ascii="Arial" w:cs="Arial" w:eastAsia="Arial" w:hAnsi="Arial"/>
                <w:sz w:val="14"/>
                <w:szCs w:val="14"/>
                <w:color w:val="auto"/>
              </w:rPr>
              <w:t>President</w:t>
            </w:r>
          </w:p>
        </w:tc>
      </w:tr>
      <w:tr>
        <w:trPr>
          <w:trHeight w:val="237"/>
        </w:trPr>
        <w:tc>
          <w:tcPr>
            <w:tcW w:w="1920" w:type="dxa"/>
            <w:vAlign w:val="bottom"/>
            <w:shd w:val="clear" w:color="auto" w:fill="F1F2F2"/>
          </w:tcPr>
          <w:p>
            <w:pPr>
              <w:ind w:left="100"/>
              <w:spacing w:after="0"/>
              <w:rPr>
                <w:sz w:val="20"/>
                <w:szCs w:val="20"/>
                <w:color w:val="auto"/>
              </w:rPr>
            </w:pPr>
            <w:r>
              <w:rPr>
                <w:rFonts w:ascii="Arial" w:cs="Arial" w:eastAsia="Arial" w:hAnsi="Arial"/>
                <w:sz w:val="14"/>
                <w:szCs w:val="14"/>
                <w:b w:val="1"/>
                <w:bCs w:val="1"/>
                <w:color w:val="auto"/>
              </w:rPr>
              <w:t>David J. Lee</w:t>
            </w:r>
          </w:p>
        </w:tc>
        <w:tc>
          <w:tcPr>
            <w:tcW w:w="1480" w:type="dxa"/>
            <w:vAlign w:val="bottom"/>
            <w:shd w:val="clear" w:color="auto" w:fill="F1F2F2"/>
          </w:tcPr>
          <w:p>
            <w:pPr>
              <w:jc w:val="center"/>
              <w:ind w:left="528"/>
              <w:spacing w:after="0"/>
              <w:rPr>
                <w:sz w:val="20"/>
                <w:szCs w:val="20"/>
                <w:color w:val="auto"/>
              </w:rPr>
            </w:pPr>
            <w:r>
              <w:rPr>
                <w:rFonts w:ascii="Arial" w:cs="Arial" w:eastAsia="Arial" w:hAnsi="Arial"/>
                <w:sz w:val="14"/>
                <w:szCs w:val="14"/>
                <w:color w:val="auto"/>
              </w:rPr>
              <w:t>54</w:t>
            </w:r>
          </w:p>
        </w:tc>
        <w:tc>
          <w:tcPr>
            <w:tcW w:w="7840" w:type="dxa"/>
            <w:vAlign w:val="bottom"/>
            <w:shd w:val="clear" w:color="auto" w:fill="F1F2F2"/>
          </w:tcPr>
          <w:p>
            <w:pPr>
              <w:ind w:left="300"/>
              <w:spacing w:after="0"/>
              <w:rPr>
                <w:sz w:val="20"/>
                <w:szCs w:val="20"/>
                <w:color w:val="auto"/>
              </w:rPr>
            </w:pPr>
            <w:r>
              <w:rPr>
                <w:rFonts w:ascii="Arial" w:cs="Arial" w:eastAsia="Arial" w:hAnsi="Arial"/>
                <w:sz w:val="14"/>
                <w:szCs w:val="14"/>
                <w:color w:val="auto"/>
              </w:rPr>
              <w:t>Chief Financial Officer, President of Wattpad Corp.</w:t>
            </w:r>
          </w:p>
        </w:tc>
      </w:tr>
      <w:tr>
        <w:trPr>
          <w:trHeight w:val="222"/>
        </w:trPr>
        <w:tc>
          <w:tcPr>
            <w:tcW w:w="1920" w:type="dxa"/>
            <w:vAlign w:val="bottom"/>
          </w:tcPr>
          <w:p>
            <w:pPr>
              <w:ind w:left="100"/>
              <w:spacing w:after="0"/>
              <w:rPr>
                <w:sz w:val="20"/>
                <w:szCs w:val="20"/>
                <w:color w:val="auto"/>
              </w:rPr>
            </w:pPr>
            <w:r>
              <w:rPr>
                <w:rFonts w:ascii="Arial" w:cs="Arial" w:eastAsia="Arial" w:hAnsi="Arial"/>
                <w:sz w:val="14"/>
                <w:szCs w:val="14"/>
                <w:b w:val="1"/>
                <w:bCs w:val="1"/>
                <w:color w:val="auto"/>
              </w:rPr>
              <w:t>Hyeeun Son</w:t>
            </w:r>
          </w:p>
        </w:tc>
        <w:tc>
          <w:tcPr>
            <w:tcW w:w="1480" w:type="dxa"/>
            <w:vAlign w:val="bottom"/>
          </w:tcPr>
          <w:p>
            <w:pPr>
              <w:jc w:val="center"/>
              <w:ind w:left="528"/>
              <w:spacing w:after="0"/>
              <w:rPr>
                <w:sz w:val="20"/>
                <w:szCs w:val="20"/>
                <w:color w:val="auto"/>
              </w:rPr>
            </w:pPr>
            <w:r>
              <w:rPr>
                <w:rFonts w:ascii="Arial" w:cs="Arial" w:eastAsia="Arial" w:hAnsi="Arial"/>
                <w:sz w:val="14"/>
                <w:szCs w:val="14"/>
                <w:color w:val="auto"/>
              </w:rPr>
              <w:t>48</w:t>
            </w:r>
          </w:p>
        </w:tc>
        <w:tc>
          <w:tcPr>
            <w:tcW w:w="7840" w:type="dxa"/>
            <w:vAlign w:val="bottom"/>
          </w:tcPr>
          <w:p>
            <w:pPr>
              <w:ind w:left="300"/>
              <w:spacing w:after="0"/>
              <w:rPr>
                <w:sz w:val="20"/>
                <w:szCs w:val="20"/>
                <w:color w:val="auto"/>
              </w:rPr>
            </w:pPr>
            <w:r>
              <w:rPr>
                <w:rFonts w:ascii="Arial" w:cs="Arial" w:eastAsia="Arial" w:hAnsi="Arial"/>
                <w:sz w:val="14"/>
                <w:szCs w:val="14"/>
                <w:color w:val="auto"/>
              </w:rPr>
              <w:t>Chief Design Officer</w:t>
            </w:r>
          </w:p>
        </w:tc>
      </w:tr>
      <w:tr>
        <w:trPr>
          <w:trHeight w:val="231"/>
        </w:trPr>
        <w:tc>
          <w:tcPr>
            <w:tcW w:w="1920" w:type="dxa"/>
            <w:vAlign w:val="bottom"/>
            <w:tcBorders>
              <w:bottom w:val="single" w:sz="8" w:color="auto"/>
            </w:tcBorders>
            <w:shd w:val="clear" w:color="auto" w:fill="F1F2F2"/>
          </w:tcPr>
          <w:p>
            <w:pPr>
              <w:ind w:left="100"/>
              <w:spacing w:after="0"/>
              <w:rPr>
                <w:sz w:val="20"/>
                <w:szCs w:val="20"/>
                <w:color w:val="auto"/>
              </w:rPr>
            </w:pPr>
            <w:r>
              <w:rPr>
                <w:rFonts w:ascii="Arial" w:cs="Arial" w:eastAsia="Arial" w:hAnsi="Arial"/>
                <w:sz w:val="14"/>
                <w:szCs w:val="14"/>
                <w:b w:val="1"/>
                <w:bCs w:val="1"/>
                <w:color w:val="auto"/>
              </w:rPr>
              <w:t>Yuki Chae</w:t>
            </w:r>
          </w:p>
        </w:tc>
        <w:tc>
          <w:tcPr>
            <w:tcW w:w="1480" w:type="dxa"/>
            <w:vAlign w:val="bottom"/>
            <w:tcBorders>
              <w:bottom w:val="single" w:sz="8" w:color="auto"/>
            </w:tcBorders>
            <w:shd w:val="clear" w:color="auto" w:fill="F1F2F2"/>
          </w:tcPr>
          <w:p>
            <w:pPr>
              <w:jc w:val="center"/>
              <w:ind w:left="528"/>
              <w:spacing w:after="0"/>
              <w:rPr>
                <w:sz w:val="20"/>
                <w:szCs w:val="20"/>
                <w:color w:val="auto"/>
              </w:rPr>
            </w:pPr>
            <w:r>
              <w:rPr>
                <w:rFonts w:ascii="Arial" w:cs="Arial" w:eastAsia="Arial" w:hAnsi="Arial"/>
                <w:sz w:val="14"/>
                <w:szCs w:val="14"/>
                <w:color w:val="auto"/>
              </w:rPr>
              <w:t>39</w:t>
            </w:r>
          </w:p>
        </w:tc>
        <w:tc>
          <w:tcPr>
            <w:tcW w:w="7840" w:type="dxa"/>
            <w:vAlign w:val="bottom"/>
            <w:tcBorders>
              <w:bottom w:val="single" w:sz="8" w:color="auto"/>
            </w:tcBorders>
            <w:shd w:val="clear" w:color="auto" w:fill="F1F2F2"/>
          </w:tcPr>
          <w:p>
            <w:pPr>
              <w:ind w:left="300"/>
              <w:spacing w:after="0"/>
              <w:rPr>
                <w:sz w:val="20"/>
                <w:szCs w:val="20"/>
                <w:color w:val="auto"/>
              </w:rPr>
            </w:pPr>
            <w:r>
              <w:rPr>
                <w:rFonts w:ascii="Arial" w:cs="Arial" w:eastAsia="Arial" w:hAnsi="Arial"/>
                <w:sz w:val="14"/>
                <w:szCs w:val="14"/>
                <w:color w:val="auto"/>
              </w:rPr>
              <w:t>Chief Product Officer</w:t>
            </w:r>
          </w:p>
        </w:tc>
      </w:tr>
    </w:tbl>
    <w:p>
      <w:pPr>
        <w:spacing w:after="0" w:line="3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Junkoo Kim </w:t>
      </w:r>
      <w:r>
        <w:rPr>
          <w:rFonts w:ascii="Arial" w:cs="Arial" w:eastAsia="Arial" w:hAnsi="Arial"/>
          <w:sz w:val="16"/>
          <w:szCs w:val="16"/>
          <w:color w:val="auto"/>
        </w:rPr>
        <w:t>- See “Proposal 1 - Election of Directors” for a biography of Mr. Kim.</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Yongsoo Kim </w:t>
      </w:r>
      <w:r>
        <w:rPr>
          <w:rFonts w:ascii="Arial" w:cs="Arial" w:eastAsia="Arial" w:hAnsi="Arial"/>
          <w:sz w:val="16"/>
          <w:szCs w:val="16"/>
          <w:color w:val="auto"/>
        </w:rPr>
        <w:t>- See “Proposal 1 - Election of Directors” for a biography of Mr. Kim.</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David J. Lee </w:t>
      </w:r>
      <w:r>
        <w:rPr>
          <w:rFonts w:ascii="Arial" w:cs="Arial" w:eastAsia="Arial" w:hAnsi="Arial"/>
          <w:sz w:val="16"/>
          <w:szCs w:val="16"/>
          <w:color w:val="auto"/>
        </w:rPr>
        <w:t>- See “Proposal 1 - Election of Directors” for a biography of Mr. Lee.</w:t>
      </w:r>
    </w:p>
    <w:p>
      <w:pPr>
        <w:spacing w:after="0" w:line="194" w:lineRule="exact"/>
        <w:rPr>
          <w:sz w:val="20"/>
          <w:szCs w:val="20"/>
          <w:color w:val="auto"/>
        </w:rPr>
      </w:pPr>
    </w:p>
    <w:p>
      <w:pPr>
        <w:ind w:right="220"/>
        <w:spacing w:after="0" w:line="319" w:lineRule="auto"/>
        <w:rPr>
          <w:sz w:val="20"/>
          <w:szCs w:val="20"/>
          <w:color w:val="auto"/>
        </w:rPr>
      </w:pPr>
      <w:r>
        <w:rPr>
          <w:rFonts w:ascii="Arial" w:cs="Arial" w:eastAsia="Arial" w:hAnsi="Arial"/>
          <w:sz w:val="16"/>
          <w:szCs w:val="16"/>
          <w:b w:val="1"/>
          <w:bCs w:val="1"/>
          <w:i w:val="1"/>
          <w:iCs w:val="1"/>
          <w:color w:val="auto"/>
        </w:rPr>
        <w:t xml:space="preserve">Hyeeun Son </w:t>
      </w:r>
      <w:r>
        <w:rPr>
          <w:rFonts w:ascii="Arial" w:cs="Arial" w:eastAsia="Arial" w:hAnsi="Arial"/>
          <w:sz w:val="16"/>
          <w:szCs w:val="16"/>
          <w:color w:val="auto"/>
        </w:rPr>
        <w:t>has been serving as our Chief Design Officer since May 2022. Ms. Son also has served as the Head of Design at NAVER WEBTOON, since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September 2017, and was appointed as Vice President of NAVER WEBTOON in March 2019. Previously, Ms. Son served as designer at NAVER since 2006. Ms. Son received a Bachelor of Fine Arts in Visual Communication Design from Hongik University.</w:t>
      </w:r>
    </w:p>
    <w:p>
      <w:pPr>
        <w:spacing w:after="0" w:line="117" w:lineRule="exact"/>
        <w:rPr>
          <w:sz w:val="20"/>
          <w:szCs w:val="20"/>
          <w:color w:val="auto"/>
        </w:rPr>
      </w:pPr>
    </w:p>
    <w:p>
      <w:pPr>
        <w:ind w:right="120"/>
        <w:spacing w:after="0" w:line="303" w:lineRule="auto"/>
        <w:rPr>
          <w:sz w:val="20"/>
          <w:szCs w:val="20"/>
          <w:color w:val="auto"/>
        </w:rPr>
      </w:pPr>
      <w:r>
        <w:rPr>
          <w:rFonts w:ascii="Arial" w:cs="Arial" w:eastAsia="Arial" w:hAnsi="Arial"/>
          <w:sz w:val="16"/>
          <w:szCs w:val="16"/>
          <w:b w:val="1"/>
          <w:bCs w:val="1"/>
          <w:i w:val="1"/>
          <w:iCs w:val="1"/>
          <w:color w:val="auto"/>
        </w:rPr>
        <w:t xml:space="preserve">Yuki Chae </w:t>
      </w:r>
      <w:r>
        <w:rPr>
          <w:rFonts w:ascii="Arial" w:cs="Arial" w:eastAsia="Arial" w:hAnsi="Arial"/>
          <w:sz w:val="16"/>
          <w:szCs w:val="16"/>
          <w:color w:val="auto"/>
        </w:rPr>
        <w:t>has served as our Chief Product Officer since April 2026, overseeing the global product strategy and planning for our Company’s webcomic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webnovel platforms, following his successful tenure as Head of Korean Content Services. Mr. Chae joined NAVER in 2013, before transitioning to WEBTOON to support our Company’s webcomics and webnovel business in 2014. As senior manager, Mr. Chae oversaw strategic planning, data analysis, content management, and platform operations for content services across the United States, Korea, and Japan. In 2021, Mr. Chae transitioned to product planning and service operations for LINE Digital Frontier in Japan and was appointed as Vice President at NAVER WEBTOON in 2022, before leading Operations for WEBTOON’s U.S. business in 2023. Mr. Chae holds a bachelor’s degree in Media &amp; Communications from Korea University.</w:t>
      </w:r>
    </w:p>
    <w:p>
      <w:pPr>
        <w:spacing w:after="0" w:line="200" w:lineRule="exact"/>
        <w:rPr>
          <w:sz w:val="20"/>
          <w:szCs w:val="20"/>
          <w:color w:val="auto"/>
        </w:rPr>
      </w:pPr>
    </w:p>
    <w:p>
      <w:pPr>
        <w:spacing w:after="0" w:line="254" w:lineRule="exact"/>
        <w:rPr>
          <w:sz w:val="20"/>
          <w:szCs w:val="20"/>
          <w:color w:val="auto"/>
        </w:rPr>
      </w:pPr>
    </w:p>
    <w:p>
      <w:pPr>
        <w:ind w:left="20"/>
        <w:spacing w:after="0"/>
        <w:tabs>
          <w:tab w:leader="none" w:pos="5360" w:val="left"/>
        </w:tabs>
        <w:rPr>
          <w:sz w:val="20"/>
          <w:szCs w:val="20"/>
          <w:color w:val="auto"/>
        </w:rPr>
      </w:pPr>
      <w:r>
        <w:rPr>
          <w:rFonts w:ascii="Arial" w:cs="Arial" w:eastAsia="Arial" w:hAnsi="Arial"/>
          <w:sz w:val="14"/>
          <w:szCs w:val="14"/>
          <w:b w:val="1"/>
          <w:bCs w:val="1"/>
          <w:color w:val="auto"/>
        </w:rPr>
        <w:t>20</w:t>
      </w:r>
      <w:r>
        <w:rPr>
          <w:sz w:val="20"/>
          <w:szCs w:val="20"/>
          <w:color w:val="auto"/>
        </w:rPr>
        <w:tab/>
      </w:r>
      <w:r>
        <w:rPr>
          <w:sz w:val="1"/>
          <w:szCs w:val="1"/>
          <w:color w:val="auto"/>
        </w:rPr>
        <w:drawing>
          <wp:inline distT="0" distB="0" distL="0" distR="0">
            <wp:extent cx="282575" cy="274320"/>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82575" cy="274320"/>
                    </a:xfrm>
                    <a:prstGeom prst="rect">
                      <a:avLst/>
                    </a:prstGeom>
                    <a:noFill/>
                    <a:ln>
                      <a:noFill/>
                    </a:ln>
                  </pic:spPr>
                </pic:pic>
              </a:graphicData>
            </a:graphic>
          </wp:inline>
        </w:drawing>
      </w:r>
      <w:r>
        <w:rPr>
          <w:rFonts w:ascii="Arial" w:cs="Arial" w:eastAsia="Arial" w:hAnsi="Arial"/>
          <w:sz w:val="14"/>
          <w:szCs w:val="14"/>
          <w:b w:val="1"/>
          <w:bCs w:val="1"/>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4" w:name="page25"/>
    <w:bookmarkEnd w:id="24"/>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54"/>
          <w:szCs w:val="54"/>
          <w:b w:val="1"/>
          <w:bCs w:val="1"/>
          <w:color w:val="00DC64"/>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20"/>
          <w:szCs w:val="20"/>
          <w:b w:val="1"/>
          <w:bCs w:val="1"/>
          <w:color w:val="00DC64"/>
        </w:rPr>
        <w:t>COMPENSATION DISCUSSION AND ANALYSIS</w:t>
      </w:r>
    </w:p>
    <w:p>
      <w:pPr>
        <w:spacing w:after="0" w:line="185"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The purpose of this Compensation Discussion and Analysis is to provide information about the material elements of compensation that are paid, awarded to, or earned by, our named executive officers for fiscal year 2025 (whom we collectively refer to as our “NEOs”), who consist of any individual who served as our principal executive officer during fiscal year 2025, any individual who served as our principal financial officer during fiscal year 2025, and our three most highly compensated executive officers who were serving at the end of fiscal year 2025 other than our principal executive officer and principal financial officer.</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For fiscal year 2025, our NEOs and their respective positions were:</w:t>
      </w:r>
    </w:p>
    <w:p>
      <w:pPr>
        <w:spacing w:after="0" w:line="208" w:lineRule="exact"/>
        <w:rPr>
          <w:sz w:val="20"/>
          <w:szCs w:val="20"/>
          <w:color w:val="auto"/>
        </w:rPr>
      </w:pPr>
    </w:p>
    <w:p>
      <w:pPr>
        <w:ind w:left="640" w:hanging="308"/>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Junkoo Kim, Chief Executive Officer;</w:t>
      </w:r>
    </w:p>
    <w:p>
      <w:pPr>
        <w:spacing w:after="0" w:line="99" w:lineRule="exact"/>
        <w:rPr>
          <w:rFonts w:ascii="Arial" w:cs="Arial" w:eastAsia="Arial" w:hAnsi="Arial"/>
          <w:sz w:val="16"/>
          <w:szCs w:val="16"/>
          <w:color w:val="auto"/>
        </w:rPr>
      </w:pPr>
    </w:p>
    <w:p>
      <w:pPr>
        <w:ind w:left="640" w:hanging="308"/>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David J. Lee, Chief Financial Officer and Chief Operating Officer;</w:t>
      </w:r>
    </w:p>
    <w:p>
      <w:pPr>
        <w:spacing w:after="0" w:line="99" w:lineRule="exact"/>
        <w:rPr>
          <w:rFonts w:ascii="Arial" w:cs="Arial" w:eastAsia="Arial" w:hAnsi="Arial"/>
          <w:sz w:val="16"/>
          <w:szCs w:val="16"/>
          <w:color w:val="auto"/>
        </w:rPr>
      </w:pPr>
    </w:p>
    <w:p>
      <w:pPr>
        <w:ind w:left="640" w:hanging="308"/>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Chankyu Park, Chief Technology Officer;</w:t>
      </w:r>
    </w:p>
    <w:p>
      <w:pPr>
        <w:spacing w:after="0" w:line="99" w:lineRule="exact"/>
        <w:rPr>
          <w:rFonts w:ascii="Arial" w:cs="Arial" w:eastAsia="Arial" w:hAnsi="Arial"/>
          <w:sz w:val="16"/>
          <w:szCs w:val="16"/>
          <w:color w:val="auto"/>
        </w:rPr>
      </w:pPr>
    </w:p>
    <w:p>
      <w:pPr>
        <w:ind w:left="640" w:hanging="308"/>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Yongsoo Kim, Chief Strategy Officer &amp; Head of Global WEBTOON, and</w:t>
      </w:r>
    </w:p>
    <w:p>
      <w:pPr>
        <w:spacing w:after="0" w:line="86" w:lineRule="exact"/>
        <w:rPr>
          <w:rFonts w:ascii="Arial" w:cs="Arial" w:eastAsia="Arial" w:hAnsi="Arial"/>
          <w:sz w:val="16"/>
          <w:szCs w:val="16"/>
          <w:color w:val="auto"/>
        </w:rPr>
      </w:pPr>
    </w:p>
    <w:p>
      <w:pPr>
        <w:ind w:left="640" w:hanging="308"/>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Hyeeun Son, Chief Design Officer.</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00DC64"/>
        </w:rPr>
        <w:t>COMPENSATION PHILOSOPHY AND OBJECTIVES</w:t>
      </w:r>
    </w:p>
    <w:p>
      <w:pPr>
        <w:spacing w:after="0" w:line="198" w:lineRule="exact"/>
        <w:rPr>
          <w:sz w:val="20"/>
          <w:szCs w:val="20"/>
          <w:color w:val="auto"/>
        </w:rPr>
      </w:pPr>
    </w:p>
    <w:p>
      <w:pPr>
        <w:ind w:right="160"/>
        <w:spacing w:after="0" w:line="310" w:lineRule="auto"/>
        <w:rPr>
          <w:sz w:val="20"/>
          <w:szCs w:val="20"/>
          <w:color w:val="auto"/>
        </w:rPr>
      </w:pPr>
      <w:r>
        <w:rPr>
          <w:rFonts w:ascii="Arial" w:cs="Arial" w:eastAsia="Arial" w:hAnsi="Arial"/>
          <w:sz w:val="16"/>
          <w:szCs w:val="16"/>
          <w:color w:val="auto"/>
        </w:rPr>
        <w:t>We have strived to create an executive compensation program that balances short-term versus long-term payments and awards, cash payments versus equity awards and fixed versus contingent payments and awards, in ways that we believe are most appropriate to motivate our executive officers, including our NEOs.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Our executive compensation program is designed to:</w:t>
      </w:r>
    </w:p>
    <w:p>
      <w:pPr>
        <w:spacing w:after="0" w:line="208" w:lineRule="exact"/>
        <w:rPr>
          <w:sz w:val="20"/>
          <w:szCs w:val="20"/>
          <w:color w:val="auto"/>
        </w:rPr>
      </w:pPr>
    </w:p>
    <w:p>
      <w:pPr>
        <w:ind w:left="640" w:hanging="30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attract and retain talented and experienced executives in our industry;</w:t>
      </w:r>
    </w:p>
    <w:p>
      <w:pPr>
        <w:spacing w:after="0" w:line="99" w:lineRule="exact"/>
        <w:rPr>
          <w:rFonts w:ascii="Arial" w:cs="Arial" w:eastAsia="Arial" w:hAnsi="Arial"/>
          <w:sz w:val="16"/>
          <w:szCs w:val="16"/>
          <w:color w:val="auto"/>
        </w:rPr>
      </w:pPr>
    </w:p>
    <w:p>
      <w:pPr>
        <w:ind w:left="640" w:hanging="30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reward executives whose knowledge, skills and performance are critical to our success;</w:t>
      </w:r>
    </w:p>
    <w:p>
      <w:pPr>
        <w:spacing w:after="0" w:line="99" w:lineRule="exact"/>
        <w:rPr>
          <w:rFonts w:ascii="Arial" w:cs="Arial" w:eastAsia="Arial" w:hAnsi="Arial"/>
          <w:sz w:val="16"/>
          <w:szCs w:val="16"/>
          <w:color w:val="auto"/>
        </w:rPr>
      </w:pPr>
    </w:p>
    <w:p>
      <w:pPr>
        <w:ind w:left="660" w:right="60" w:hanging="328"/>
        <w:spacing w:after="0" w:line="321" w:lineRule="auto"/>
        <w:tabs>
          <w:tab w:leader="none" w:pos="649" w:val="left"/>
        </w:tabs>
        <w:numPr>
          <w:ilvl w:val="0"/>
          <w:numId w:val="13"/>
        </w:numPr>
        <w:rPr>
          <w:rFonts w:ascii="Arial" w:cs="Arial" w:eastAsia="Arial" w:hAnsi="Arial"/>
          <w:sz w:val="16"/>
          <w:szCs w:val="16"/>
          <w:color w:val="auto"/>
        </w:rPr>
      </w:pPr>
      <w:r>
        <w:rPr>
          <w:rFonts w:ascii="Arial" w:cs="Arial" w:eastAsia="Arial" w:hAnsi="Arial"/>
          <w:sz w:val="16"/>
          <w:szCs w:val="16"/>
          <w:color w:val="auto"/>
        </w:rPr>
        <w:t>align the interests of our executive officers and stockholders by motivating executive officers to increase stockholder value and rewarding executive officers when stockholder value increases;</w:t>
      </w:r>
    </w:p>
    <w:p>
      <w:pPr>
        <w:spacing w:after="0" w:line="7" w:lineRule="exact"/>
        <w:rPr>
          <w:rFonts w:ascii="Arial" w:cs="Arial" w:eastAsia="Arial" w:hAnsi="Arial"/>
          <w:sz w:val="16"/>
          <w:szCs w:val="16"/>
          <w:color w:val="auto"/>
        </w:rPr>
      </w:pPr>
    </w:p>
    <w:p>
      <w:pPr>
        <w:ind w:left="640" w:hanging="30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ensure fairness among the executive management team by recognizing the contributions each executive makes to our success;</w:t>
      </w:r>
    </w:p>
    <w:p>
      <w:pPr>
        <w:spacing w:after="0" w:line="99" w:lineRule="exact"/>
        <w:rPr>
          <w:rFonts w:ascii="Arial" w:cs="Arial" w:eastAsia="Arial" w:hAnsi="Arial"/>
          <w:sz w:val="16"/>
          <w:szCs w:val="16"/>
          <w:color w:val="auto"/>
        </w:rPr>
      </w:pPr>
    </w:p>
    <w:p>
      <w:pPr>
        <w:ind w:left="660" w:right="700" w:hanging="328"/>
        <w:spacing w:after="0" w:line="334" w:lineRule="auto"/>
        <w:tabs>
          <w:tab w:leader="none" w:pos="649" w:val="left"/>
        </w:tabs>
        <w:numPr>
          <w:ilvl w:val="0"/>
          <w:numId w:val="13"/>
        </w:numPr>
        <w:rPr>
          <w:rFonts w:ascii="Arial" w:cs="Arial" w:eastAsia="Arial" w:hAnsi="Arial"/>
          <w:sz w:val="16"/>
          <w:szCs w:val="16"/>
          <w:color w:val="auto"/>
        </w:rPr>
      </w:pPr>
      <w:r>
        <w:rPr>
          <w:rFonts w:ascii="Arial" w:cs="Arial" w:eastAsia="Arial" w:hAnsi="Arial"/>
          <w:sz w:val="16"/>
          <w:szCs w:val="16"/>
          <w:color w:val="auto"/>
        </w:rPr>
        <w:t>foster a shared commitment among executives by aligning their individual goals with the goals of the executive management team and our Company; and</w:t>
      </w:r>
    </w:p>
    <w:p>
      <w:pPr>
        <w:ind w:left="640" w:hanging="30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compensate our executives in a manner that incentivizes them to manage our business to meet our long-range objectives.</w:t>
      </w:r>
    </w:p>
    <w:p>
      <w:pPr>
        <w:spacing w:after="0" w:line="194" w:lineRule="exact"/>
        <w:rPr>
          <w:sz w:val="20"/>
          <w:szCs w:val="20"/>
          <w:color w:val="auto"/>
        </w:rPr>
      </w:pPr>
    </w:p>
    <w:p>
      <w:pPr>
        <w:ind w:right="380"/>
        <w:spacing w:after="0" w:line="339" w:lineRule="auto"/>
        <w:rPr>
          <w:sz w:val="20"/>
          <w:szCs w:val="20"/>
          <w:color w:val="auto"/>
        </w:rPr>
      </w:pPr>
      <w:r>
        <w:rPr>
          <w:rFonts w:ascii="Arial" w:cs="Arial" w:eastAsia="Arial" w:hAnsi="Arial"/>
          <w:sz w:val="16"/>
          <w:szCs w:val="16"/>
          <w:color w:val="auto"/>
        </w:rPr>
        <w:t>We seek to promote a long-term commitment to the Company by our executive officers. We believe that there is great value to the Company in having a team of experienced managers. Our team-focused culture and management processes are designed to foster retention of our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287655</wp:posOffset>
            </wp:positionV>
            <wp:extent cx="282575" cy="2743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82575" cy="274320"/>
                    </a:xfrm>
                    <a:prstGeom prst="rect">
                      <a:avLst/>
                    </a:prstGeom>
                    <a:noFill/>
                  </pic:spPr>
                </pic:pic>
              </a:graphicData>
            </a:graphic>
          </wp:anchor>
        </w:drawing>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280" w:type="dxa"/>
            <w:vAlign w:val="bottom"/>
          </w:tcPr>
          <w:p>
            <w:pPr>
              <w:ind w:left="20"/>
              <w:spacing w:after="0"/>
              <w:rPr>
                <w:sz w:val="20"/>
                <w:szCs w:val="20"/>
                <w:color w:val="auto"/>
              </w:rPr>
            </w:pPr>
            <w:r>
              <w:rPr>
                <w:rFonts w:ascii="Arial" w:cs="Arial" w:eastAsia="Arial" w:hAnsi="Arial"/>
                <w:sz w:val="14"/>
                <w:szCs w:val="14"/>
                <w:b w:val="1"/>
                <w:bCs w:val="1"/>
                <w:color w:val="auto"/>
              </w:rPr>
              <w:t>2026 Proxy Statement</w:t>
            </w:r>
          </w:p>
        </w:tc>
        <w:tc>
          <w:tcPr>
            <w:tcW w:w="4960" w:type="dxa"/>
            <w:vAlign w:val="bottom"/>
          </w:tcPr>
          <w:p>
            <w:pPr>
              <w:jc w:val="right"/>
              <w:spacing w:after="0"/>
              <w:rPr>
                <w:sz w:val="20"/>
                <w:szCs w:val="20"/>
                <w:color w:val="auto"/>
              </w:rPr>
            </w:pPr>
            <w:r>
              <w:rPr>
                <w:rFonts w:ascii="Arial" w:cs="Arial" w:eastAsia="Arial" w:hAnsi="Arial"/>
                <w:sz w:val="14"/>
                <w:szCs w:val="14"/>
                <w:b w:val="1"/>
                <w:bCs w:val="1"/>
                <w:color w:val="auto"/>
              </w:rPr>
              <w:t>21</w:t>
            </w:r>
          </w:p>
        </w:tc>
      </w:tr>
      <w:tr>
        <w:trPr>
          <w:trHeight w:val="373"/>
        </w:trPr>
        <w:tc>
          <w:tcPr>
            <w:tcW w:w="6280" w:type="dxa"/>
            <w:vAlign w:val="bottom"/>
            <w:tcBorders>
              <w:bottom w:val="single" w:sz="8" w:color="9A9A9A"/>
            </w:tcBorders>
          </w:tcPr>
          <w:p>
            <w:pPr>
              <w:spacing w:after="0"/>
              <w:rPr>
                <w:sz w:val="24"/>
                <w:szCs w:val="24"/>
                <w:color w:val="auto"/>
              </w:rPr>
            </w:pPr>
          </w:p>
        </w:tc>
        <w:tc>
          <w:tcPr>
            <w:tcW w:w="4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5" w:name="page26"/>
    <w:bookmarkEnd w:id="25"/>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20"/>
          <w:szCs w:val="20"/>
          <w:b w:val="1"/>
          <w:bCs w:val="1"/>
          <w:color w:val="00DC64"/>
        </w:rPr>
        <w:t>STOCKHOLDER SAY-ON PAY AND SAY-ON-FREQUENCY ADVISORY VOTE</w:t>
      </w:r>
    </w:p>
    <w:p>
      <w:pPr>
        <w:spacing w:after="0" w:line="198"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We held a non-binding advisory stockholder vote on the compensation of our NEOs, commonly referred to as a “say-on-pay” vote, at our 2025 annual meeting of stockholders, and received favorable vote of over 98% supporting our “say-on-pay” proposal. Our Compensation Committee considered the result of this advisory vote and, given the significant level of support, concluded that the compensation of our NEOs provided a competitive performance package that incentivizes our NEOs and encourage their retention over the long-term. Our Compensation Committee will continue to consider the outcome of our “say-on-pay” votes and our stockholder views when making compensation decisions for our NEOs.</w:t>
      </w:r>
    </w:p>
    <w:p>
      <w:pPr>
        <w:spacing w:after="0" w:line="131"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Based on the results of a non-binding advisory stockholder vote on the frequency of future shareholder advisory votes regarding the compensation of our NEOs, commonly referred to as a “say-on-frequency” vote, held at our 2025 annual meeting of stockholders, our board of directors determined that we will hold our “say-on-pay” vote every year until the next required “say-on-frequency” vote. We expect that our next “say-on-frequency” vote will occur no later than 2031.</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00DC64"/>
        </w:rPr>
        <w:t>COMPENSATION BEST PRACTICES</w:t>
      </w:r>
    </w:p>
    <w:p>
      <w:pPr>
        <w:spacing w:after="0" w:line="224" w:lineRule="exact"/>
        <w:rPr>
          <w:sz w:val="20"/>
          <w:szCs w:val="20"/>
          <w:color w:val="auto"/>
        </w:rPr>
      </w:pPr>
    </w:p>
    <w:p>
      <w:pPr>
        <w:ind w:left="20"/>
        <w:spacing w:after="0"/>
        <w:tabs>
          <w:tab w:leader="none" w:pos="5600" w:val="left"/>
        </w:tabs>
        <w:rPr>
          <w:sz w:val="20"/>
          <w:szCs w:val="20"/>
          <w:color w:val="auto"/>
        </w:rPr>
      </w:pPr>
      <w:r>
        <w:rPr>
          <w:rFonts w:ascii="Arial" w:cs="Arial" w:eastAsia="Arial" w:hAnsi="Arial"/>
          <w:sz w:val="22"/>
          <w:szCs w:val="22"/>
          <w:b w:val="1"/>
          <w:bCs w:val="1"/>
          <w:color w:val="00DC64"/>
        </w:rPr>
        <w:t>What We Do</w:t>
      </w:r>
      <w:r>
        <w:rPr>
          <w:sz w:val="20"/>
          <w:szCs w:val="20"/>
          <w:color w:val="auto"/>
        </w:rPr>
        <w:tab/>
      </w:r>
      <w:r>
        <w:rPr>
          <w:rFonts w:ascii="Arial" w:cs="Arial" w:eastAsia="Arial" w:hAnsi="Arial"/>
          <w:sz w:val="21"/>
          <w:szCs w:val="21"/>
          <w:b w:val="1"/>
          <w:bCs w:val="1"/>
          <w:color w:val="auto"/>
        </w:rPr>
        <w:t>What We Do Not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419735" cy="402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19735" cy="40259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p>
      <w:pPr>
        <w:spacing w:after="0" w:line="240" w:lineRule="exact"/>
        <w:rPr>
          <w:sz w:val="20"/>
          <w:szCs w:val="20"/>
          <w:color w:val="auto"/>
        </w:rPr>
      </w:pPr>
    </w:p>
    <w:p>
      <w:pPr>
        <w:ind w:left="220"/>
        <w:spacing w:after="0"/>
        <w:rPr>
          <w:sz w:val="20"/>
          <w:szCs w:val="20"/>
          <w:color w:val="auto"/>
        </w:rPr>
      </w:pPr>
      <w:r>
        <w:rPr>
          <w:rFonts w:ascii="Wingdings" w:cs="Wingdings" w:eastAsia="Wingdings" w:hAnsi="Wingdings"/>
          <w:sz w:val="32"/>
          <w:szCs w:val="32"/>
          <w:b w:val="1"/>
          <w:bCs w:val="1"/>
          <w:color w:val="auto"/>
          <w:shd w:val="clear" w:color="auto" w:fill="00DC64"/>
        </w:rPr>
        <w:t>ü</w:t>
      </w:r>
    </w:p>
    <w:p>
      <w:pPr>
        <w:spacing w:after="0" w:line="279" w:lineRule="exact"/>
        <w:rPr>
          <w:sz w:val="20"/>
          <w:szCs w:val="20"/>
          <w:color w:val="auto"/>
        </w:rPr>
      </w:pPr>
    </w:p>
    <w:p>
      <w:pPr>
        <w:ind w:left="220"/>
        <w:spacing w:after="0"/>
        <w:rPr>
          <w:sz w:val="20"/>
          <w:szCs w:val="20"/>
          <w:color w:val="auto"/>
        </w:rPr>
      </w:pPr>
      <w:r>
        <w:rPr>
          <w:rFonts w:ascii="Wingdings" w:cs="Wingdings" w:eastAsia="Wingdings" w:hAnsi="Wingdings"/>
          <w:sz w:val="32"/>
          <w:szCs w:val="32"/>
          <w:b w:val="1"/>
          <w:bCs w:val="1"/>
          <w:color w:val="auto"/>
          <w:shd w:val="clear" w:color="auto" w:fill="00DC64"/>
        </w:rPr>
        <w:t>ü</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396875</wp:posOffset>
            </wp:positionV>
            <wp:extent cx="419735" cy="6858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19735"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left="220"/>
        <w:spacing w:after="0"/>
        <w:rPr>
          <w:sz w:val="20"/>
          <w:szCs w:val="20"/>
          <w:color w:val="auto"/>
        </w:rPr>
      </w:pPr>
      <w:r>
        <w:rPr>
          <w:rFonts w:ascii="Wingdings" w:cs="Wingdings" w:eastAsia="Wingdings" w:hAnsi="Wingdings"/>
          <w:sz w:val="32"/>
          <w:szCs w:val="32"/>
          <w:b w:val="1"/>
          <w:bCs w:val="1"/>
          <w:color w:val="auto"/>
          <w:shd w:val="clear" w:color="auto" w:fill="00DC64"/>
        </w:rPr>
        <w:t>ü</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20"/>
        <w:spacing w:after="0"/>
        <w:rPr>
          <w:sz w:val="20"/>
          <w:szCs w:val="20"/>
          <w:color w:val="auto"/>
        </w:rPr>
      </w:pPr>
      <w:r>
        <w:rPr>
          <w:rFonts w:ascii="Wingdings" w:cs="Wingdings" w:eastAsia="Wingdings" w:hAnsi="Wingdings"/>
          <w:sz w:val="32"/>
          <w:szCs w:val="32"/>
          <w:b w:val="1"/>
          <w:bCs w:val="1"/>
          <w:color w:val="auto"/>
          <w:shd w:val="clear" w:color="auto" w:fill="00DC64"/>
        </w:rPr>
        <w:t>ü</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419735" cy="5486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19735" cy="548640"/>
                    </a:xfrm>
                    <a:prstGeom prst="rect">
                      <a:avLst/>
                    </a:prstGeom>
                    <a:noFill/>
                  </pic:spPr>
                </pic:pic>
              </a:graphicData>
            </a:graphic>
          </wp:anchor>
        </w:drawing>
      </w:r>
    </w:p>
    <w:p>
      <w:pPr>
        <w:spacing w:after="0" w:line="259" w:lineRule="exact"/>
        <w:rPr>
          <w:sz w:val="20"/>
          <w:szCs w:val="20"/>
          <w:color w:val="auto"/>
        </w:rPr>
      </w:pPr>
    </w:p>
    <w:p>
      <w:pPr>
        <w:ind w:left="220"/>
        <w:spacing w:after="0"/>
        <w:rPr>
          <w:sz w:val="20"/>
          <w:szCs w:val="20"/>
          <w:color w:val="auto"/>
        </w:rPr>
      </w:pPr>
      <w:r>
        <w:rPr>
          <w:rFonts w:ascii="Wingdings" w:cs="Wingdings" w:eastAsia="Wingdings" w:hAnsi="Wingdings"/>
          <w:sz w:val="32"/>
          <w:szCs w:val="32"/>
          <w:b w:val="1"/>
          <w:bCs w:val="1"/>
          <w:color w:val="auto"/>
          <w:shd w:val="clear" w:color="auto" w:fill="00DC64"/>
        </w:rPr>
        <w:t>ü</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36"/>
        </w:trPr>
        <w:tc>
          <w:tcPr>
            <w:tcW w:w="4960" w:type="dxa"/>
            <w:vAlign w:val="bottom"/>
            <w:shd w:val="clear" w:color="auto" w:fill="F1F2F2"/>
          </w:tcPr>
          <w:p>
            <w:pPr>
              <w:ind w:left="20"/>
              <w:spacing w:after="0"/>
              <w:rPr>
                <w:sz w:val="20"/>
                <w:szCs w:val="20"/>
                <w:color w:val="auto"/>
              </w:rPr>
            </w:pPr>
            <w:r>
              <w:rPr>
                <w:rFonts w:ascii="Arial" w:cs="Arial" w:eastAsia="Arial" w:hAnsi="Arial"/>
                <w:sz w:val="16"/>
                <w:szCs w:val="16"/>
                <w:color w:val="auto"/>
              </w:rPr>
              <w:t>Engage an independent compensation consultant</w:t>
            </w:r>
          </w:p>
        </w:tc>
        <w:tc>
          <w:tcPr>
            <w:tcW w:w="540" w:type="dxa"/>
            <w:vAlign w:val="bottom"/>
            <w:shd w:val="clear" w:color="auto" w:fill="F1F2F2"/>
          </w:tcPr>
          <w:p>
            <w:pPr>
              <w:ind w:left="260"/>
              <w:spacing w:after="0"/>
              <w:rPr>
                <w:sz w:val="20"/>
                <w:szCs w:val="20"/>
                <w:color w:val="auto"/>
              </w:rPr>
            </w:pPr>
            <w:r>
              <w:rPr>
                <w:rFonts w:ascii="Arial" w:cs="Arial" w:eastAsia="Arial" w:hAnsi="Arial"/>
                <w:sz w:val="18"/>
                <w:szCs w:val="18"/>
                <w:b w:val="1"/>
                <w:bCs w:val="1"/>
                <w:color w:val="auto"/>
              </w:rPr>
              <w:t>X</w:t>
            </w:r>
          </w:p>
        </w:tc>
        <w:tc>
          <w:tcPr>
            <w:tcW w:w="5080" w:type="dxa"/>
            <w:vAlign w:val="bottom"/>
            <w:shd w:val="clear" w:color="auto" w:fill="F1F2F2"/>
          </w:tcPr>
          <w:p>
            <w:pPr>
              <w:ind w:left="140"/>
              <w:spacing w:after="0"/>
              <w:rPr>
                <w:sz w:val="20"/>
                <w:szCs w:val="20"/>
                <w:color w:val="auto"/>
              </w:rPr>
            </w:pPr>
            <w:r>
              <w:rPr>
                <w:rFonts w:ascii="Arial" w:cs="Arial" w:eastAsia="Arial" w:hAnsi="Arial"/>
                <w:sz w:val="16"/>
                <w:szCs w:val="16"/>
                <w:color w:val="auto"/>
              </w:rPr>
              <w:t>Provide excessive severance agreements</w:t>
            </w:r>
          </w:p>
        </w:tc>
      </w:tr>
      <w:tr>
        <w:trPr>
          <w:trHeight w:val="298"/>
        </w:trPr>
        <w:tc>
          <w:tcPr>
            <w:tcW w:w="4960" w:type="dxa"/>
            <w:vAlign w:val="bottom"/>
            <w:shd w:val="clear" w:color="auto" w:fill="F1F2F2"/>
          </w:tcPr>
          <w:p>
            <w:pPr>
              <w:spacing w:after="0"/>
              <w:rPr>
                <w:sz w:val="24"/>
                <w:szCs w:val="24"/>
                <w:color w:val="auto"/>
              </w:rPr>
            </w:pPr>
          </w:p>
        </w:tc>
        <w:tc>
          <w:tcPr>
            <w:tcW w:w="540" w:type="dxa"/>
            <w:vAlign w:val="bottom"/>
            <w:shd w:val="clear" w:color="auto" w:fill="F1F2F2"/>
          </w:tcPr>
          <w:p>
            <w:pPr>
              <w:spacing w:after="0"/>
              <w:rPr>
                <w:sz w:val="24"/>
                <w:szCs w:val="24"/>
                <w:color w:val="auto"/>
              </w:rPr>
            </w:pPr>
          </w:p>
        </w:tc>
        <w:tc>
          <w:tcPr>
            <w:tcW w:w="5080" w:type="dxa"/>
            <w:vAlign w:val="bottom"/>
            <w:shd w:val="clear" w:color="auto" w:fill="F1F2F2"/>
          </w:tcPr>
          <w:p>
            <w:pPr>
              <w:spacing w:after="0"/>
              <w:rPr>
                <w:sz w:val="24"/>
                <w:szCs w:val="24"/>
                <w:color w:val="auto"/>
              </w:rPr>
            </w:pPr>
          </w:p>
        </w:tc>
      </w:tr>
      <w:tr>
        <w:trPr>
          <w:trHeight w:val="336"/>
        </w:trPr>
        <w:tc>
          <w:tcPr>
            <w:tcW w:w="4960" w:type="dxa"/>
            <w:vAlign w:val="bottom"/>
          </w:tcPr>
          <w:p>
            <w:pPr>
              <w:ind w:left="20"/>
              <w:spacing w:after="0"/>
              <w:rPr>
                <w:sz w:val="20"/>
                <w:szCs w:val="20"/>
                <w:color w:val="auto"/>
              </w:rPr>
            </w:pPr>
            <w:r>
              <w:rPr>
                <w:rFonts w:ascii="Arial" w:cs="Arial" w:eastAsia="Arial" w:hAnsi="Arial"/>
                <w:sz w:val="16"/>
                <w:szCs w:val="16"/>
                <w:color w:val="auto"/>
              </w:rPr>
              <w:t>Utilize a peer group of companies based on the Company’s industry,</w:t>
            </w:r>
          </w:p>
        </w:tc>
        <w:tc>
          <w:tcPr>
            <w:tcW w:w="540" w:type="dxa"/>
            <w:vAlign w:val="bottom"/>
          </w:tcPr>
          <w:p>
            <w:pPr>
              <w:ind w:left="260"/>
              <w:spacing w:after="0"/>
              <w:rPr>
                <w:sz w:val="20"/>
                <w:szCs w:val="20"/>
                <w:color w:val="auto"/>
              </w:rPr>
            </w:pPr>
            <w:r>
              <w:rPr>
                <w:rFonts w:ascii="Arial" w:cs="Arial" w:eastAsia="Arial" w:hAnsi="Arial"/>
                <w:sz w:val="18"/>
                <w:szCs w:val="18"/>
                <w:b w:val="1"/>
                <w:bCs w:val="1"/>
                <w:color w:val="auto"/>
              </w:rPr>
              <w:t>X</w:t>
            </w:r>
          </w:p>
        </w:tc>
        <w:tc>
          <w:tcPr>
            <w:tcW w:w="5080" w:type="dxa"/>
            <w:vAlign w:val="bottom"/>
          </w:tcPr>
          <w:p>
            <w:pPr>
              <w:ind w:left="140"/>
              <w:spacing w:after="0"/>
              <w:rPr>
                <w:sz w:val="20"/>
                <w:szCs w:val="20"/>
                <w:color w:val="auto"/>
              </w:rPr>
            </w:pPr>
            <w:r>
              <w:rPr>
                <w:rFonts w:ascii="Arial" w:cs="Arial" w:eastAsia="Arial" w:hAnsi="Arial"/>
                <w:sz w:val="16"/>
                <w:szCs w:val="16"/>
                <w:color w:val="auto"/>
              </w:rPr>
              <w:t>Provide single-trigger change in control termination benefits in</w:t>
            </w:r>
          </w:p>
        </w:tc>
      </w:tr>
      <w:tr>
        <w:trPr>
          <w:trHeight w:val="229"/>
        </w:trPr>
        <w:tc>
          <w:tcPr>
            <w:tcW w:w="4960" w:type="dxa"/>
            <w:vAlign w:val="bottom"/>
          </w:tcPr>
          <w:p>
            <w:pPr>
              <w:ind w:left="20"/>
              <w:spacing w:after="0"/>
              <w:rPr>
                <w:sz w:val="20"/>
                <w:szCs w:val="20"/>
                <w:color w:val="auto"/>
              </w:rPr>
            </w:pPr>
            <w:r>
              <w:rPr>
                <w:rFonts w:ascii="Arial" w:cs="Arial" w:eastAsia="Arial" w:hAnsi="Arial"/>
                <w:sz w:val="16"/>
                <w:szCs w:val="16"/>
                <w:color w:val="auto"/>
              </w:rPr>
              <w:t>size, and other factors to provide a reference point on compensation</w:t>
            </w:r>
          </w:p>
        </w:tc>
        <w:tc>
          <w:tcPr>
            <w:tcW w:w="540" w:type="dxa"/>
            <w:vAlign w:val="bottom"/>
          </w:tcPr>
          <w:p>
            <w:pPr>
              <w:spacing w:after="0"/>
              <w:rPr>
                <w:sz w:val="19"/>
                <w:szCs w:val="19"/>
                <w:color w:val="auto"/>
              </w:rPr>
            </w:pPr>
          </w:p>
        </w:tc>
        <w:tc>
          <w:tcPr>
            <w:tcW w:w="5080" w:type="dxa"/>
            <w:vAlign w:val="bottom"/>
          </w:tcPr>
          <w:p>
            <w:pPr>
              <w:ind w:left="140"/>
              <w:spacing w:after="0"/>
              <w:rPr>
                <w:sz w:val="20"/>
                <w:szCs w:val="20"/>
                <w:color w:val="auto"/>
              </w:rPr>
            </w:pPr>
            <w:r>
              <w:rPr>
                <w:rFonts w:ascii="Arial" w:cs="Arial" w:eastAsia="Arial" w:hAnsi="Arial"/>
                <w:sz w:val="16"/>
                <w:szCs w:val="16"/>
                <w:color w:val="auto"/>
              </w:rPr>
              <w:t>employment agreements</w:t>
            </w:r>
          </w:p>
        </w:tc>
      </w:tr>
      <w:tr>
        <w:trPr>
          <w:trHeight w:val="230"/>
        </w:trPr>
        <w:tc>
          <w:tcPr>
            <w:tcW w:w="4960" w:type="dxa"/>
            <w:vAlign w:val="bottom"/>
          </w:tcPr>
          <w:p>
            <w:pPr>
              <w:ind w:left="20"/>
              <w:spacing w:after="0"/>
              <w:rPr>
                <w:sz w:val="20"/>
                <w:szCs w:val="20"/>
                <w:color w:val="auto"/>
              </w:rPr>
            </w:pPr>
            <w:r>
              <w:rPr>
                <w:rFonts w:ascii="Arial" w:cs="Arial" w:eastAsia="Arial" w:hAnsi="Arial"/>
                <w:sz w:val="16"/>
                <w:szCs w:val="16"/>
                <w:color w:val="auto"/>
              </w:rPr>
              <w:t>determinations</w:t>
            </w:r>
          </w:p>
        </w:tc>
        <w:tc>
          <w:tcPr>
            <w:tcW w:w="540" w:type="dxa"/>
            <w:vAlign w:val="bottom"/>
          </w:tcPr>
          <w:p>
            <w:pPr>
              <w:spacing w:after="0"/>
              <w:rPr>
                <w:sz w:val="19"/>
                <w:szCs w:val="19"/>
                <w:color w:val="auto"/>
              </w:rPr>
            </w:pPr>
          </w:p>
        </w:tc>
        <w:tc>
          <w:tcPr>
            <w:tcW w:w="5080" w:type="dxa"/>
            <w:vAlign w:val="bottom"/>
          </w:tcPr>
          <w:p>
            <w:pPr>
              <w:spacing w:after="0"/>
              <w:rPr>
                <w:sz w:val="19"/>
                <w:szCs w:val="19"/>
                <w:color w:val="auto"/>
              </w:rPr>
            </w:pPr>
          </w:p>
        </w:tc>
      </w:tr>
      <w:tr>
        <w:trPr>
          <w:trHeight w:val="285"/>
        </w:trPr>
        <w:tc>
          <w:tcPr>
            <w:tcW w:w="4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336"/>
        </w:trPr>
        <w:tc>
          <w:tcPr>
            <w:tcW w:w="4960" w:type="dxa"/>
            <w:vAlign w:val="bottom"/>
            <w:shd w:val="clear" w:color="auto" w:fill="F1F2F2"/>
          </w:tcPr>
          <w:p>
            <w:pPr>
              <w:ind w:left="20"/>
              <w:spacing w:after="0"/>
              <w:rPr>
                <w:sz w:val="20"/>
                <w:szCs w:val="20"/>
                <w:color w:val="auto"/>
              </w:rPr>
            </w:pPr>
            <w:r>
              <w:rPr>
                <w:rFonts w:ascii="Arial" w:cs="Arial" w:eastAsia="Arial" w:hAnsi="Arial"/>
                <w:sz w:val="16"/>
                <w:szCs w:val="16"/>
                <w:color w:val="auto"/>
              </w:rPr>
              <w:t>Compensation Committee oversight of executive compensation</w:t>
            </w:r>
          </w:p>
        </w:tc>
        <w:tc>
          <w:tcPr>
            <w:tcW w:w="540" w:type="dxa"/>
            <w:vAlign w:val="bottom"/>
            <w:shd w:val="clear" w:color="auto" w:fill="F1F2F2"/>
          </w:tcPr>
          <w:p>
            <w:pPr>
              <w:ind w:left="260"/>
              <w:spacing w:after="0"/>
              <w:rPr>
                <w:sz w:val="20"/>
                <w:szCs w:val="20"/>
                <w:color w:val="auto"/>
              </w:rPr>
            </w:pPr>
            <w:r>
              <w:rPr>
                <w:rFonts w:ascii="Arial" w:cs="Arial" w:eastAsia="Arial" w:hAnsi="Arial"/>
                <w:sz w:val="18"/>
                <w:szCs w:val="18"/>
                <w:b w:val="1"/>
                <w:bCs w:val="1"/>
                <w:color w:val="auto"/>
              </w:rPr>
              <w:t>X</w:t>
            </w:r>
          </w:p>
        </w:tc>
        <w:tc>
          <w:tcPr>
            <w:tcW w:w="5080" w:type="dxa"/>
            <w:vAlign w:val="bottom"/>
            <w:shd w:val="clear" w:color="auto" w:fill="F1F2F2"/>
          </w:tcPr>
          <w:p>
            <w:pPr>
              <w:ind w:left="140"/>
              <w:spacing w:after="0"/>
              <w:rPr>
                <w:sz w:val="20"/>
                <w:szCs w:val="20"/>
                <w:color w:val="auto"/>
              </w:rPr>
            </w:pPr>
            <w:r>
              <w:rPr>
                <w:rFonts w:ascii="Arial" w:cs="Arial" w:eastAsia="Arial" w:hAnsi="Arial"/>
                <w:sz w:val="16"/>
                <w:szCs w:val="16"/>
                <w:color w:val="auto"/>
              </w:rPr>
              <w:t>Allow directors or officers to hedge Company stock or pledge</w:t>
            </w:r>
          </w:p>
        </w:tc>
      </w:tr>
      <w:tr>
        <w:trPr>
          <w:trHeight w:val="229"/>
        </w:trPr>
        <w:tc>
          <w:tcPr>
            <w:tcW w:w="4960" w:type="dxa"/>
            <w:vAlign w:val="bottom"/>
            <w:shd w:val="clear" w:color="auto" w:fill="F1F2F2"/>
          </w:tcPr>
          <w:p>
            <w:pPr>
              <w:ind w:left="20"/>
              <w:spacing w:after="0"/>
              <w:rPr>
                <w:sz w:val="20"/>
                <w:szCs w:val="20"/>
                <w:color w:val="auto"/>
              </w:rPr>
            </w:pPr>
            <w:r>
              <w:rPr>
                <w:rFonts w:ascii="Arial" w:cs="Arial" w:eastAsia="Arial" w:hAnsi="Arial"/>
                <w:sz w:val="16"/>
                <w:szCs w:val="16"/>
                <w:color w:val="auto"/>
              </w:rPr>
              <w:t>levels, incentive plan goals and other executive compensation</w:t>
            </w:r>
          </w:p>
        </w:tc>
        <w:tc>
          <w:tcPr>
            <w:tcW w:w="540" w:type="dxa"/>
            <w:vAlign w:val="bottom"/>
            <w:shd w:val="clear" w:color="auto" w:fill="F1F2F2"/>
          </w:tcPr>
          <w:p>
            <w:pPr>
              <w:spacing w:after="0"/>
              <w:rPr>
                <w:sz w:val="19"/>
                <w:szCs w:val="19"/>
                <w:color w:val="auto"/>
              </w:rPr>
            </w:pPr>
          </w:p>
        </w:tc>
        <w:tc>
          <w:tcPr>
            <w:tcW w:w="5080" w:type="dxa"/>
            <w:vAlign w:val="bottom"/>
            <w:shd w:val="clear" w:color="auto" w:fill="F1F2F2"/>
          </w:tcPr>
          <w:p>
            <w:pPr>
              <w:ind w:left="140"/>
              <w:spacing w:after="0"/>
              <w:rPr>
                <w:sz w:val="20"/>
                <w:szCs w:val="20"/>
                <w:color w:val="auto"/>
              </w:rPr>
            </w:pPr>
            <w:r>
              <w:rPr>
                <w:rFonts w:ascii="Arial" w:cs="Arial" w:eastAsia="Arial" w:hAnsi="Arial"/>
                <w:sz w:val="16"/>
                <w:szCs w:val="16"/>
                <w:color w:val="auto"/>
              </w:rPr>
              <w:t>Company stock as collateral for a loan</w:t>
            </w:r>
          </w:p>
        </w:tc>
      </w:tr>
      <w:tr>
        <w:trPr>
          <w:trHeight w:val="230"/>
        </w:trPr>
        <w:tc>
          <w:tcPr>
            <w:tcW w:w="4960" w:type="dxa"/>
            <w:vAlign w:val="bottom"/>
            <w:shd w:val="clear" w:color="auto" w:fill="F1F2F2"/>
          </w:tcPr>
          <w:p>
            <w:pPr>
              <w:ind w:left="20"/>
              <w:spacing w:after="0"/>
              <w:rPr>
                <w:sz w:val="20"/>
                <w:szCs w:val="20"/>
                <w:color w:val="auto"/>
              </w:rPr>
            </w:pPr>
            <w:r>
              <w:rPr>
                <w:rFonts w:ascii="Arial" w:cs="Arial" w:eastAsia="Arial" w:hAnsi="Arial"/>
                <w:sz w:val="16"/>
                <w:szCs w:val="16"/>
                <w:color w:val="auto"/>
              </w:rPr>
              <w:t>matters</w:t>
            </w:r>
          </w:p>
        </w:tc>
        <w:tc>
          <w:tcPr>
            <w:tcW w:w="540" w:type="dxa"/>
            <w:vAlign w:val="bottom"/>
            <w:shd w:val="clear" w:color="auto" w:fill="F1F2F2"/>
          </w:tcPr>
          <w:p>
            <w:pPr>
              <w:spacing w:after="0"/>
              <w:rPr>
                <w:sz w:val="19"/>
                <w:szCs w:val="19"/>
                <w:color w:val="auto"/>
              </w:rPr>
            </w:pPr>
          </w:p>
        </w:tc>
        <w:tc>
          <w:tcPr>
            <w:tcW w:w="5080" w:type="dxa"/>
            <w:vAlign w:val="bottom"/>
            <w:shd w:val="clear" w:color="auto" w:fill="F1F2F2"/>
          </w:tcPr>
          <w:p>
            <w:pPr>
              <w:spacing w:after="0"/>
              <w:rPr>
                <w:sz w:val="19"/>
                <w:szCs w:val="19"/>
                <w:color w:val="auto"/>
              </w:rPr>
            </w:pPr>
          </w:p>
        </w:tc>
      </w:tr>
      <w:tr>
        <w:trPr>
          <w:trHeight w:val="285"/>
        </w:trPr>
        <w:tc>
          <w:tcPr>
            <w:tcW w:w="4960" w:type="dxa"/>
            <w:vAlign w:val="bottom"/>
            <w:shd w:val="clear" w:color="auto" w:fill="F1F2F2"/>
          </w:tcPr>
          <w:p>
            <w:pPr>
              <w:spacing w:after="0"/>
              <w:rPr>
                <w:sz w:val="24"/>
                <w:szCs w:val="24"/>
                <w:color w:val="auto"/>
              </w:rPr>
            </w:pPr>
          </w:p>
        </w:tc>
        <w:tc>
          <w:tcPr>
            <w:tcW w:w="540" w:type="dxa"/>
            <w:vAlign w:val="bottom"/>
            <w:shd w:val="clear" w:color="auto" w:fill="F1F2F2"/>
          </w:tcPr>
          <w:p>
            <w:pPr>
              <w:spacing w:after="0"/>
              <w:rPr>
                <w:sz w:val="24"/>
                <w:szCs w:val="24"/>
                <w:color w:val="auto"/>
              </w:rPr>
            </w:pPr>
          </w:p>
        </w:tc>
        <w:tc>
          <w:tcPr>
            <w:tcW w:w="5080" w:type="dxa"/>
            <w:vAlign w:val="bottom"/>
            <w:shd w:val="clear" w:color="auto" w:fill="F1F2F2"/>
          </w:tcPr>
          <w:p>
            <w:pPr>
              <w:spacing w:after="0"/>
              <w:rPr>
                <w:sz w:val="24"/>
                <w:szCs w:val="24"/>
                <w:color w:val="auto"/>
              </w:rPr>
            </w:pPr>
          </w:p>
        </w:tc>
      </w:tr>
      <w:tr>
        <w:trPr>
          <w:trHeight w:val="336"/>
        </w:trPr>
        <w:tc>
          <w:tcPr>
            <w:tcW w:w="4960" w:type="dxa"/>
            <w:vAlign w:val="bottom"/>
          </w:tcPr>
          <w:p>
            <w:pPr>
              <w:ind w:left="20"/>
              <w:spacing w:after="0"/>
              <w:rPr>
                <w:sz w:val="20"/>
                <w:szCs w:val="20"/>
                <w:color w:val="auto"/>
              </w:rPr>
            </w:pPr>
            <w:r>
              <w:rPr>
                <w:rFonts w:ascii="Arial" w:cs="Arial" w:eastAsia="Arial" w:hAnsi="Arial"/>
                <w:sz w:val="16"/>
                <w:szCs w:val="16"/>
                <w:color w:val="auto"/>
              </w:rPr>
              <w:t>Maintain an SEC-compliant clawback policy</w:t>
            </w:r>
          </w:p>
        </w:tc>
        <w:tc>
          <w:tcPr>
            <w:tcW w:w="540" w:type="dxa"/>
            <w:vAlign w:val="bottom"/>
          </w:tcPr>
          <w:p>
            <w:pPr>
              <w:ind w:left="260"/>
              <w:spacing w:after="0"/>
              <w:rPr>
                <w:sz w:val="20"/>
                <w:szCs w:val="20"/>
                <w:color w:val="auto"/>
              </w:rPr>
            </w:pPr>
            <w:r>
              <w:rPr>
                <w:rFonts w:ascii="Arial" w:cs="Arial" w:eastAsia="Arial" w:hAnsi="Arial"/>
                <w:sz w:val="18"/>
                <w:szCs w:val="18"/>
                <w:b w:val="1"/>
                <w:bCs w:val="1"/>
                <w:color w:val="auto"/>
              </w:rPr>
              <w:t>X</w:t>
            </w:r>
          </w:p>
        </w:tc>
        <w:tc>
          <w:tcPr>
            <w:tcW w:w="5080" w:type="dxa"/>
            <w:vAlign w:val="bottom"/>
          </w:tcPr>
          <w:p>
            <w:pPr>
              <w:ind w:left="140"/>
              <w:spacing w:after="0"/>
              <w:rPr>
                <w:sz w:val="20"/>
                <w:szCs w:val="20"/>
                <w:color w:val="auto"/>
              </w:rPr>
            </w:pPr>
            <w:r>
              <w:rPr>
                <w:rFonts w:ascii="Arial" w:cs="Arial" w:eastAsia="Arial" w:hAnsi="Arial"/>
                <w:sz w:val="16"/>
                <w:szCs w:val="16"/>
                <w:color w:val="auto"/>
              </w:rPr>
              <w:t>Provide excessive perquisites to our executives</w:t>
            </w:r>
          </w:p>
        </w:tc>
      </w:tr>
      <w:tr>
        <w:trPr>
          <w:trHeight w:val="299"/>
        </w:trPr>
        <w:tc>
          <w:tcPr>
            <w:tcW w:w="4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336"/>
        </w:trPr>
        <w:tc>
          <w:tcPr>
            <w:tcW w:w="4960" w:type="dxa"/>
            <w:vAlign w:val="bottom"/>
            <w:shd w:val="clear" w:color="auto" w:fill="F1F2F2"/>
          </w:tcPr>
          <w:p>
            <w:pPr>
              <w:ind w:left="20"/>
              <w:spacing w:after="0"/>
              <w:rPr>
                <w:sz w:val="20"/>
                <w:szCs w:val="20"/>
                <w:color w:val="auto"/>
              </w:rPr>
            </w:pPr>
            <w:r>
              <w:rPr>
                <w:rFonts w:ascii="Arial" w:cs="Arial" w:eastAsia="Arial" w:hAnsi="Arial"/>
                <w:sz w:val="16"/>
                <w:szCs w:val="16"/>
                <w:color w:val="auto"/>
              </w:rPr>
              <w:t>Comprehensive Stock Ownership Guidelines</w:t>
            </w:r>
          </w:p>
        </w:tc>
        <w:tc>
          <w:tcPr>
            <w:tcW w:w="540" w:type="dxa"/>
            <w:vAlign w:val="bottom"/>
            <w:shd w:val="clear" w:color="auto" w:fill="F1F2F2"/>
          </w:tcPr>
          <w:p>
            <w:pPr>
              <w:ind w:left="260"/>
              <w:spacing w:after="0"/>
              <w:rPr>
                <w:sz w:val="20"/>
                <w:szCs w:val="20"/>
                <w:color w:val="auto"/>
              </w:rPr>
            </w:pPr>
            <w:r>
              <w:rPr>
                <w:rFonts w:ascii="Arial" w:cs="Arial" w:eastAsia="Arial" w:hAnsi="Arial"/>
                <w:sz w:val="18"/>
                <w:szCs w:val="18"/>
                <w:b w:val="1"/>
                <w:bCs w:val="1"/>
                <w:color w:val="auto"/>
              </w:rPr>
              <w:t>X</w:t>
            </w:r>
          </w:p>
        </w:tc>
        <w:tc>
          <w:tcPr>
            <w:tcW w:w="5080" w:type="dxa"/>
            <w:vAlign w:val="bottom"/>
            <w:shd w:val="clear" w:color="auto" w:fill="F1F2F2"/>
          </w:tcPr>
          <w:p>
            <w:pPr>
              <w:ind w:left="140"/>
              <w:spacing w:after="0"/>
              <w:rPr>
                <w:sz w:val="20"/>
                <w:szCs w:val="20"/>
                <w:color w:val="auto"/>
              </w:rPr>
            </w:pPr>
            <w:r>
              <w:rPr>
                <w:rFonts w:ascii="Arial" w:cs="Arial" w:eastAsia="Arial" w:hAnsi="Arial"/>
                <w:sz w:val="16"/>
                <w:szCs w:val="16"/>
                <w:color w:val="auto"/>
              </w:rPr>
              <w:t>Utilize compensation practices that involve excessive or</w:t>
            </w:r>
          </w:p>
        </w:tc>
      </w:tr>
      <w:tr>
        <w:trPr>
          <w:trHeight w:val="229"/>
        </w:trPr>
        <w:tc>
          <w:tcPr>
            <w:tcW w:w="4960" w:type="dxa"/>
            <w:vAlign w:val="bottom"/>
            <w:shd w:val="clear" w:color="auto" w:fill="F1F2F2"/>
          </w:tcPr>
          <w:p>
            <w:pPr>
              <w:spacing w:after="0"/>
              <w:rPr>
                <w:sz w:val="19"/>
                <w:szCs w:val="19"/>
                <w:color w:val="auto"/>
              </w:rPr>
            </w:pPr>
          </w:p>
        </w:tc>
        <w:tc>
          <w:tcPr>
            <w:tcW w:w="540" w:type="dxa"/>
            <w:vAlign w:val="bottom"/>
            <w:shd w:val="clear" w:color="auto" w:fill="F1F2F2"/>
          </w:tcPr>
          <w:p>
            <w:pPr>
              <w:spacing w:after="0"/>
              <w:rPr>
                <w:sz w:val="19"/>
                <w:szCs w:val="19"/>
                <w:color w:val="auto"/>
              </w:rPr>
            </w:pPr>
          </w:p>
        </w:tc>
        <w:tc>
          <w:tcPr>
            <w:tcW w:w="5080" w:type="dxa"/>
            <w:vAlign w:val="bottom"/>
            <w:shd w:val="clear" w:color="auto" w:fill="F1F2F2"/>
          </w:tcPr>
          <w:p>
            <w:pPr>
              <w:ind w:left="140"/>
              <w:spacing w:after="0"/>
              <w:rPr>
                <w:sz w:val="20"/>
                <w:szCs w:val="20"/>
                <w:color w:val="auto"/>
              </w:rPr>
            </w:pPr>
            <w:r>
              <w:rPr>
                <w:rFonts w:ascii="Arial" w:cs="Arial" w:eastAsia="Arial" w:hAnsi="Arial"/>
                <w:sz w:val="16"/>
                <w:szCs w:val="16"/>
                <w:color w:val="auto"/>
              </w:rPr>
              <w:t>unnecessary risk-taking</w:t>
            </w:r>
          </w:p>
        </w:tc>
      </w:tr>
      <w:tr>
        <w:trPr>
          <w:trHeight w:val="299"/>
        </w:trPr>
        <w:tc>
          <w:tcPr>
            <w:tcW w:w="4960" w:type="dxa"/>
            <w:vAlign w:val="bottom"/>
            <w:shd w:val="clear" w:color="auto" w:fill="F1F2F2"/>
          </w:tcPr>
          <w:p>
            <w:pPr>
              <w:spacing w:after="0"/>
              <w:rPr>
                <w:sz w:val="24"/>
                <w:szCs w:val="24"/>
                <w:color w:val="auto"/>
              </w:rPr>
            </w:pPr>
          </w:p>
        </w:tc>
        <w:tc>
          <w:tcPr>
            <w:tcW w:w="540" w:type="dxa"/>
            <w:vAlign w:val="bottom"/>
            <w:shd w:val="clear" w:color="auto" w:fill="F1F2F2"/>
          </w:tcPr>
          <w:p>
            <w:pPr>
              <w:spacing w:after="0"/>
              <w:rPr>
                <w:sz w:val="24"/>
                <w:szCs w:val="24"/>
                <w:color w:val="auto"/>
              </w:rPr>
            </w:pPr>
          </w:p>
        </w:tc>
        <w:tc>
          <w:tcPr>
            <w:tcW w:w="5080" w:type="dxa"/>
            <w:vAlign w:val="bottom"/>
            <w:shd w:val="clear" w:color="auto" w:fill="F1F2F2"/>
          </w:tcPr>
          <w:p>
            <w:pPr>
              <w:spacing w:after="0"/>
              <w:rPr>
                <w:sz w:val="24"/>
                <w:szCs w:val="24"/>
                <w:color w:val="auto"/>
              </w:rPr>
            </w:pPr>
          </w:p>
        </w:tc>
      </w:tr>
      <w:tr>
        <w:trPr>
          <w:trHeight w:val="336"/>
        </w:trPr>
        <w:tc>
          <w:tcPr>
            <w:tcW w:w="4960" w:type="dxa"/>
            <w:vAlign w:val="bottom"/>
          </w:tcPr>
          <w:p>
            <w:pPr>
              <w:spacing w:after="0"/>
              <w:rPr>
                <w:sz w:val="24"/>
                <w:szCs w:val="24"/>
                <w:color w:val="auto"/>
              </w:rPr>
            </w:pPr>
          </w:p>
        </w:tc>
        <w:tc>
          <w:tcPr>
            <w:tcW w:w="540" w:type="dxa"/>
            <w:vAlign w:val="bottom"/>
          </w:tcPr>
          <w:p>
            <w:pPr>
              <w:ind w:left="260"/>
              <w:spacing w:after="0"/>
              <w:rPr>
                <w:sz w:val="20"/>
                <w:szCs w:val="20"/>
                <w:color w:val="auto"/>
              </w:rPr>
            </w:pPr>
            <w:r>
              <w:rPr>
                <w:rFonts w:ascii="Arial" w:cs="Arial" w:eastAsia="Arial" w:hAnsi="Arial"/>
                <w:sz w:val="18"/>
                <w:szCs w:val="18"/>
                <w:b w:val="1"/>
                <w:bCs w:val="1"/>
                <w:color w:val="auto"/>
              </w:rPr>
              <w:t>X</w:t>
            </w:r>
          </w:p>
        </w:tc>
        <w:tc>
          <w:tcPr>
            <w:tcW w:w="5080" w:type="dxa"/>
            <w:vAlign w:val="bottom"/>
          </w:tcPr>
          <w:p>
            <w:pPr>
              <w:ind w:left="140"/>
              <w:spacing w:after="0"/>
              <w:rPr>
                <w:sz w:val="20"/>
                <w:szCs w:val="20"/>
                <w:color w:val="auto"/>
              </w:rPr>
            </w:pPr>
            <w:r>
              <w:rPr>
                <w:rFonts w:ascii="Arial" w:cs="Arial" w:eastAsia="Arial" w:hAnsi="Arial"/>
                <w:sz w:val="16"/>
                <w:szCs w:val="16"/>
                <w:color w:val="auto"/>
              </w:rPr>
              <w:t>Allow directors or officers to engage in speculative trading of</w:t>
            </w:r>
          </w:p>
        </w:tc>
      </w:tr>
      <w:tr>
        <w:trPr>
          <w:trHeight w:val="229"/>
        </w:trPr>
        <w:tc>
          <w:tcPr>
            <w:tcW w:w="49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080" w:type="dxa"/>
            <w:vAlign w:val="bottom"/>
          </w:tcPr>
          <w:p>
            <w:pPr>
              <w:ind w:left="140"/>
              <w:spacing w:after="0"/>
              <w:rPr>
                <w:sz w:val="20"/>
                <w:szCs w:val="20"/>
                <w:color w:val="auto"/>
              </w:rPr>
            </w:pPr>
            <w:r>
              <w:rPr>
                <w:rFonts w:ascii="Arial" w:cs="Arial" w:eastAsia="Arial" w:hAnsi="Arial"/>
                <w:sz w:val="16"/>
                <w:szCs w:val="16"/>
                <w:color w:val="auto"/>
              </w:rPr>
              <w:t>Company stock</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189865</wp:posOffset>
            </wp:positionV>
            <wp:extent cx="71323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60" w:space="200"/>
            <w:col w:w="10580"/>
          </w:cols>
          <w:pgMar w:left="320" w:top="130" w:right="339" w:bottom="1440" w:gutter="0" w:footer="0" w:header="0"/>
          <w:type w:val="continuous"/>
        </w:sectPr>
      </w:pPr>
    </w:p>
    <w:p>
      <w:pPr>
        <w:spacing w:after="0" w:line="399" w:lineRule="exact"/>
        <w:rPr>
          <w:sz w:val="20"/>
          <w:szCs w:val="20"/>
          <w:color w:val="auto"/>
        </w:rPr>
      </w:pPr>
    </w:p>
    <w:p>
      <w:pPr>
        <w:spacing w:after="0"/>
        <w:rPr>
          <w:sz w:val="20"/>
          <w:szCs w:val="20"/>
          <w:color w:val="auto"/>
        </w:rPr>
      </w:pPr>
      <w:r>
        <w:rPr>
          <w:rFonts w:ascii="Arial" w:cs="Arial" w:eastAsia="Arial" w:hAnsi="Arial"/>
          <w:sz w:val="20"/>
          <w:szCs w:val="20"/>
          <w:b w:val="1"/>
          <w:bCs w:val="1"/>
          <w:color w:val="00DC64"/>
        </w:rPr>
        <w:t>PROCESS FOR DETERMINING EXECUTIVE COMPENSATION</w:t>
      </w:r>
    </w:p>
    <w:p>
      <w:pPr>
        <w:spacing w:after="0" w:line="198" w:lineRule="exact"/>
        <w:rPr>
          <w:sz w:val="20"/>
          <w:szCs w:val="20"/>
          <w:color w:val="auto"/>
        </w:rPr>
      </w:pPr>
    </w:p>
    <w:p>
      <w:pPr>
        <w:ind w:right="40"/>
        <w:spacing w:after="0" w:line="299" w:lineRule="auto"/>
        <w:rPr>
          <w:sz w:val="20"/>
          <w:szCs w:val="20"/>
          <w:color w:val="auto"/>
        </w:rPr>
      </w:pPr>
      <w:r>
        <w:rPr>
          <w:rFonts w:ascii="Arial" w:cs="Arial" w:eastAsia="Arial" w:hAnsi="Arial"/>
          <w:sz w:val="16"/>
          <w:szCs w:val="16"/>
          <w:color w:val="auto"/>
        </w:rPr>
        <w:t>The Compensation Committee has overall responsibility for approving and evaluating the director and executive compensation plans, policies, and programs of the Company. The Compensation Committee uses several different tools and resources in reviewing elements of executive compensation and making compensation decisions, including our independent compensation consultant as noted below. These decisions, however, are not purely formulaic, and the Compensation Committee exercises judgment as appropriate, taking into consideration our financial results, culture, goals, and initiatives and whether each particular compensation element provides an appropriate incentive and reward for performance that sustains and enhances long-term stockholder value. Included in these considerations is an assessment of the NEO’s current total compensation, leadership, integrity, individual performance, prospect for future performance, years of experience, skill set and contributions to our financial results and the creation of stockholder value. Under its charter, the Compensation Committee has the authority to delegate any of its responsibilities, along with the authority to take action in relation to such responsibilities, to one or more subcommittees as the Compensation Committee may deem appropriate in its sole discretion, so long as any such committee is comprised entirely of independent directors and has a written charter.</w:t>
      </w:r>
    </w:p>
    <w:p>
      <w:pPr>
        <w:spacing w:after="0" w:line="200" w:lineRule="exact"/>
        <w:rPr>
          <w:sz w:val="20"/>
          <w:szCs w:val="20"/>
          <w:color w:val="auto"/>
        </w:rPr>
      </w:pPr>
    </w:p>
    <w:p>
      <w:pPr>
        <w:spacing w:after="0" w:line="260" w:lineRule="exact"/>
        <w:rPr>
          <w:sz w:val="20"/>
          <w:szCs w:val="20"/>
          <w:color w:val="auto"/>
        </w:rPr>
      </w:pPr>
    </w:p>
    <w:p>
      <w:pPr>
        <w:ind w:left="20"/>
        <w:spacing w:after="0"/>
        <w:tabs>
          <w:tab w:leader="none" w:pos="5360" w:val="left"/>
        </w:tabs>
        <w:rPr>
          <w:sz w:val="20"/>
          <w:szCs w:val="20"/>
          <w:color w:val="auto"/>
        </w:rPr>
      </w:pPr>
      <w:r>
        <w:rPr>
          <w:rFonts w:ascii="Arial" w:cs="Arial" w:eastAsia="Arial" w:hAnsi="Arial"/>
          <w:sz w:val="14"/>
          <w:szCs w:val="14"/>
          <w:b w:val="1"/>
          <w:bCs w:val="1"/>
          <w:color w:val="auto"/>
        </w:rPr>
        <w:t>22</w:t>
      </w:r>
      <w:r>
        <w:rPr>
          <w:sz w:val="20"/>
          <w:szCs w:val="20"/>
          <w:color w:val="auto"/>
        </w:rPr>
        <w:tab/>
      </w:r>
      <w:r>
        <w:rPr>
          <w:sz w:val="1"/>
          <w:szCs w:val="1"/>
          <w:color w:val="auto"/>
        </w:rPr>
        <w:drawing>
          <wp:inline distT="0" distB="0" distL="0" distR="0">
            <wp:extent cx="282575" cy="274320"/>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82575" cy="274320"/>
                    </a:xfrm>
                    <a:prstGeom prst="rect">
                      <a:avLst/>
                    </a:prstGeom>
                    <a:noFill/>
                    <a:ln>
                      <a:noFill/>
                    </a:ln>
                  </pic:spPr>
                </pic:pic>
              </a:graphicData>
            </a:graphic>
          </wp:inline>
        </w:drawing>
      </w:r>
      <w:r>
        <w:rPr>
          <w:rFonts w:ascii="Arial" w:cs="Arial" w:eastAsia="Arial" w:hAnsi="Arial"/>
          <w:sz w:val="14"/>
          <w:szCs w:val="14"/>
          <w:b w:val="1"/>
          <w:bCs w:val="1"/>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26" w:name="page27"/>
    <w:bookmarkEnd w:id="26"/>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Role of Executive Officers in Compensation Decision</w:t>
      </w:r>
    </w:p>
    <w:p>
      <w:pPr>
        <w:spacing w:after="0" w:line="154" w:lineRule="exact"/>
        <w:rPr>
          <w:sz w:val="20"/>
          <w:szCs w:val="20"/>
          <w:color w:val="auto"/>
        </w:rPr>
      </w:pPr>
    </w:p>
    <w:p>
      <w:pPr>
        <w:ind w:right="40"/>
        <w:spacing w:after="0" w:line="304" w:lineRule="auto"/>
        <w:rPr>
          <w:sz w:val="20"/>
          <w:szCs w:val="20"/>
          <w:color w:val="auto"/>
        </w:rPr>
      </w:pPr>
      <w:r>
        <w:rPr>
          <w:rFonts w:ascii="Arial" w:cs="Arial" w:eastAsia="Arial" w:hAnsi="Arial"/>
          <w:sz w:val="16"/>
          <w:szCs w:val="16"/>
          <w:color w:val="auto"/>
        </w:rPr>
        <w:t>The Compensation Committee considers input from our Chief Executive Officer in making determinations regarding our executive compensation program and the individual compensation of each executive officer, other than our Chief Executive Officer. Our Chief Executive Officer and management team also provide information to the Compensation Committee regarding the Company’s performance for purposes of determining annual cash bonuses and long-term incentive equity awards. The Compensation Committee makes the final determination of NEO compensation. Our Chief Executive Officer makes no recommendations regarding, and does not participate in discussions about, our Chief Executive Officer’s own compensation.</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Role of Independent Consultant</w:t>
      </w:r>
    </w:p>
    <w:p>
      <w:pPr>
        <w:spacing w:after="0" w:line="140"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The Compensation Committee retained Pearl Meyer &amp; Partners, LLC (“Pearl Meyer”), an independent compensation consultant for fiscal year 2025. In fiscal year 2025, Pearl Meyer assisted the Compensation Committee by providing competitive compensation data to assist in pay determinations for 2026, assessing the design of our short- and long-term incentive programs, providing information on trends in executive compensation and governance, and reviewing the compensation peer group established in 2024.</w:t>
      </w:r>
    </w:p>
    <w:p>
      <w:pPr>
        <w:spacing w:after="0" w:line="110" w:lineRule="exact"/>
        <w:rPr>
          <w:sz w:val="20"/>
          <w:szCs w:val="20"/>
          <w:color w:val="auto"/>
        </w:rPr>
      </w:pPr>
    </w:p>
    <w:p>
      <w:pPr>
        <w:jc w:val="both"/>
        <w:spacing w:after="0" w:line="319" w:lineRule="auto"/>
        <w:rPr>
          <w:sz w:val="20"/>
          <w:szCs w:val="20"/>
          <w:color w:val="auto"/>
        </w:rPr>
      </w:pPr>
      <w:r>
        <w:rPr>
          <w:rFonts w:ascii="Arial" w:cs="Arial" w:eastAsia="Arial" w:hAnsi="Arial"/>
          <w:sz w:val="16"/>
          <w:szCs w:val="16"/>
          <w:color w:val="auto"/>
        </w:rPr>
        <w:t>The Compensation Committee conducted a specific review of its relationship with Pearl Meyer in fiscal year 2025 and determined that Pearl Meyer’s work for the Compensation Committee did not raise any conflicts of interest. Pearl Meyer’s work has conformed to the independence facts and guidance provided by the Dodd-Frank Wall Street Reform and Consumer Protection Act of 2010, the SEC and Nasdaq.</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Peer Group</w:t>
      </w:r>
    </w:p>
    <w:p>
      <w:pPr>
        <w:spacing w:after="0" w:line="140" w:lineRule="exact"/>
        <w:rPr>
          <w:sz w:val="20"/>
          <w:szCs w:val="20"/>
          <w:color w:val="auto"/>
        </w:rPr>
      </w:pPr>
    </w:p>
    <w:p>
      <w:pPr>
        <w:jc w:val="both"/>
        <w:ind w:right="60"/>
        <w:spacing w:after="0" w:line="299" w:lineRule="auto"/>
        <w:rPr>
          <w:sz w:val="20"/>
          <w:szCs w:val="20"/>
          <w:color w:val="auto"/>
        </w:rPr>
      </w:pPr>
      <w:r>
        <w:rPr>
          <w:rFonts w:ascii="Arial" w:cs="Arial" w:eastAsia="Arial" w:hAnsi="Arial"/>
          <w:sz w:val="16"/>
          <w:szCs w:val="16"/>
          <w:color w:val="auto"/>
        </w:rPr>
        <w:t>In 2025, the Compensation Committee reviewed and discussed compensation data for our NEOs to assist in determining 2026 fiscal year compensation as compared to compensation data for similarly-situated executive officers of our peer group companies. Our peer group companies reflect U.S. publicly traded companies in the media/entertainment, gaming and technology industries representing competitors for business, executive talent and investment capital.</w:t>
      </w:r>
    </w:p>
    <w:p>
      <w:pPr>
        <w:spacing w:after="0" w:line="1" w:lineRule="exact"/>
        <w:rPr>
          <w:sz w:val="20"/>
          <w:szCs w:val="20"/>
          <w:color w:val="auto"/>
        </w:rPr>
      </w:pPr>
    </w:p>
    <w:p>
      <w:pPr>
        <w:ind w:right="140"/>
        <w:spacing w:after="0" w:line="310" w:lineRule="auto"/>
        <w:rPr>
          <w:sz w:val="20"/>
          <w:szCs w:val="20"/>
          <w:color w:val="auto"/>
        </w:rPr>
      </w:pPr>
      <w:r>
        <w:rPr>
          <w:rFonts w:ascii="Arial" w:cs="Arial" w:eastAsia="Arial" w:hAnsi="Arial"/>
          <w:sz w:val="16"/>
          <w:szCs w:val="16"/>
          <w:color w:val="auto"/>
        </w:rPr>
        <w:t>The peer group companies have revenues and market capitalization comparable to ours. In fiscal year 2025, the Compensation Committee, with input from Pearl Meyer, reviewed the peer group established in 2024 to confirm that it remains appropriate for comparison or to account for mergers, acquisition, bankruptcies or other events impacting companies within the peer group.</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companies comprised our fiscal year 2025 peer group, which was used for determining fiscal year 2026 compensation:</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840" w:type="dxa"/>
            <w:vAlign w:val="bottom"/>
          </w:tcPr>
          <w:p>
            <w:pPr>
              <w:ind w:left="100"/>
              <w:spacing w:after="0"/>
              <w:rPr>
                <w:sz w:val="20"/>
                <w:szCs w:val="20"/>
                <w:color w:val="auto"/>
              </w:rPr>
            </w:pPr>
            <w:r>
              <w:rPr>
                <w:rFonts w:ascii="Arial" w:cs="Arial" w:eastAsia="Arial" w:hAnsi="Arial"/>
                <w:sz w:val="14"/>
                <w:szCs w:val="14"/>
                <w:b w:val="1"/>
                <w:bCs w:val="1"/>
                <w:color w:val="auto"/>
              </w:rPr>
              <w:t>Fiscal Year 2025 Peer Group</w:t>
            </w:r>
          </w:p>
        </w:tc>
        <w:tc>
          <w:tcPr>
            <w:tcW w:w="7400" w:type="dxa"/>
            <w:vAlign w:val="bottom"/>
          </w:tcPr>
          <w:p>
            <w:pPr>
              <w:spacing w:after="0"/>
              <w:rPr>
                <w:sz w:val="17"/>
                <w:szCs w:val="17"/>
                <w:color w:val="auto"/>
              </w:rPr>
            </w:pPr>
          </w:p>
        </w:tc>
      </w:tr>
      <w:tr>
        <w:trPr>
          <w:trHeight w:val="110"/>
        </w:trPr>
        <w:tc>
          <w:tcPr>
            <w:tcW w:w="3840" w:type="dxa"/>
            <w:vAlign w:val="bottom"/>
          </w:tcPr>
          <w:p>
            <w:pPr>
              <w:spacing w:after="0"/>
              <w:rPr>
                <w:sz w:val="9"/>
                <w:szCs w:val="9"/>
                <w:color w:val="auto"/>
              </w:rPr>
            </w:pPr>
          </w:p>
        </w:tc>
        <w:tc>
          <w:tcPr>
            <w:tcW w:w="7400" w:type="dxa"/>
            <w:vAlign w:val="bottom"/>
          </w:tcPr>
          <w:p>
            <w:pPr>
              <w:spacing w:after="0"/>
              <w:rPr>
                <w:sz w:val="9"/>
                <w:szCs w:val="9"/>
                <w:color w:val="auto"/>
              </w:rPr>
            </w:pPr>
          </w:p>
        </w:tc>
      </w:tr>
      <w:tr>
        <w:trPr>
          <w:trHeight w:val="209"/>
        </w:trPr>
        <w:tc>
          <w:tcPr>
            <w:tcW w:w="3840" w:type="dxa"/>
            <w:vAlign w:val="bottom"/>
            <w:tcBorders>
              <w:bottom w:val="single" w:sz="8" w:color="F1F2F2"/>
            </w:tcBorders>
            <w:shd w:val="clear" w:color="auto" w:fill="F1F2F2"/>
          </w:tcPr>
          <w:p>
            <w:pPr>
              <w:ind w:left="100"/>
              <w:spacing w:after="0"/>
              <w:rPr>
                <w:sz w:val="20"/>
                <w:szCs w:val="20"/>
                <w:color w:val="auto"/>
              </w:rPr>
            </w:pPr>
            <w:r>
              <w:rPr>
                <w:rFonts w:ascii="Arial" w:cs="Arial" w:eastAsia="Arial" w:hAnsi="Arial"/>
                <w:sz w:val="14"/>
                <w:szCs w:val="14"/>
                <w:color w:val="auto"/>
              </w:rPr>
              <w:t>Bumble Inc.</w:t>
            </w:r>
          </w:p>
        </w:tc>
        <w:tc>
          <w:tcPr>
            <w:tcW w:w="7400" w:type="dxa"/>
            <w:vAlign w:val="bottom"/>
            <w:tcBorders>
              <w:bottom w:val="single" w:sz="8" w:color="F1F2F2"/>
            </w:tcBorders>
            <w:shd w:val="clear" w:color="auto" w:fill="F1F2F2"/>
          </w:tcPr>
          <w:p>
            <w:pPr>
              <w:ind w:left="1800"/>
              <w:spacing w:after="0"/>
              <w:rPr>
                <w:sz w:val="20"/>
                <w:szCs w:val="20"/>
                <w:color w:val="auto"/>
              </w:rPr>
            </w:pPr>
            <w:r>
              <w:rPr>
                <w:rFonts w:ascii="Arial" w:cs="Arial" w:eastAsia="Arial" w:hAnsi="Arial"/>
                <w:sz w:val="14"/>
                <w:szCs w:val="14"/>
                <w:color w:val="auto"/>
              </w:rPr>
              <w:t>Pinterest, Inc.</w:t>
            </w:r>
          </w:p>
        </w:tc>
      </w:tr>
      <w:tr>
        <w:trPr>
          <w:trHeight w:val="208"/>
        </w:trPr>
        <w:tc>
          <w:tcPr>
            <w:tcW w:w="3840" w:type="dxa"/>
            <w:vAlign w:val="bottom"/>
          </w:tcPr>
          <w:p>
            <w:pPr>
              <w:ind w:left="100"/>
              <w:spacing w:after="0"/>
              <w:rPr>
                <w:sz w:val="20"/>
                <w:szCs w:val="20"/>
                <w:color w:val="auto"/>
              </w:rPr>
            </w:pPr>
            <w:r>
              <w:rPr>
                <w:rFonts w:ascii="Arial" w:cs="Arial" w:eastAsia="Arial" w:hAnsi="Arial"/>
                <w:sz w:val="14"/>
                <w:szCs w:val="14"/>
                <w:color w:val="auto"/>
              </w:rPr>
              <w:t>Fastly, Inc.</w:t>
            </w:r>
          </w:p>
        </w:tc>
        <w:tc>
          <w:tcPr>
            <w:tcW w:w="7400" w:type="dxa"/>
            <w:vAlign w:val="bottom"/>
          </w:tcPr>
          <w:p>
            <w:pPr>
              <w:ind w:left="1800"/>
              <w:spacing w:after="0"/>
              <w:rPr>
                <w:sz w:val="20"/>
                <w:szCs w:val="20"/>
                <w:color w:val="auto"/>
              </w:rPr>
            </w:pPr>
            <w:r>
              <w:rPr>
                <w:rFonts w:ascii="Arial" w:cs="Arial" w:eastAsia="Arial" w:hAnsi="Arial"/>
                <w:sz w:val="14"/>
                <w:szCs w:val="14"/>
                <w:color w:val="auto"/>
              </w:rPr>
              <w:t>Reddit, Inc.</w:t>
            </w:r>
          </w:p>
        </w:tc>
      </w:tr>
      <w:tr>
        <w:trPr>
          <w:trHeight w:val="22"/>
        </w:trPr>
        <w:tc>
          <w:tcPr>
            <w:tcW w:w="384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r>
      <w:tr>
        <w:trPr>
          <w:trHeight w:val="210"/>
        </w:trPr>
        <w:tc>
          <w:tcPr>
            <w:tcW w:w="3840" w:type="dxa"/>
            <w:vAlign w:val="bottom"/>
            <w:tcBorders>
              <w:bottom w:val="single" w:sz="8" w:color="F1F2F2"/>
            </w:tcBorders>
            <w:shd w:val="clear" w:color="auto" w:fill="F1F2F2"/>
          </w:tcPr>
          <w:p>
            <w:pPr>
              <w:ind w:left="100"/>
              <w:spacing w:after="0"/>
              <w:rPr>
                <w:sz w:val="20"/>
                <w:szCs w:val="20"/>
                <w:color w:val="auto"/>
              </w:rPr>
            </w:pPr>
            <w:r>
              <w:rPr>
                <w:rFonts w:ascii="Arial" w:cs="Arial" w:eastAsia="Arial" w:hAnsi="Arial"/>
                <w:sz w:val="14"/>
                <w:szCs w:val="14"/>
                <w:color w:val="auto"/>
              </w:rPr>
              <w:t>fuboTV Inc.</w:t>
            </w:r>
          </w:p>
        </w:tc>
        <w:tc>
          <w:tcPr>
            <w:tcW w:w="7400" w:type="dxa"/>
            <w:vAlign w:val="bottom"/>
            <w:tcBorders>
              <w:bottom w:val="single" w:sz="8" w:color="F1F2F2"/>
            </w:tcBorders>
            <w:shd w:val="clear" w:color="auto" w:fill="F1F2F2"/>
          </w:tcPr>
          <w:p>
            <w:pPr>
              <w:ind w:left="1800"/>
              <w:spacing w:after="0"/>
              <w:rPr>
                <w:sz w:val="20"/>
                <w:szCs w:val="20"/>
                <w:color w:val="auto"/>
              </w:rPr>
            </w:pPr>
            <w:r>
              <w:rPr>
                <w:rFonts w:ascii="Arial" w:cs="Arial" w:eastAsia="Arial" w:hAnsi="Arial"/>
                <w:sz w:val="14"/>
                <w:szCs w:val="14"/>
                <w:color w:val="auto"/>
              </w:rPr>
              <w:t>Roblox Corporation</w:t>
            </w:r>
          </w:p>
        </w:tc>
      </w:tr>
      <w:tr>
        <w:trPr>
          <w:trHeight w:val="208"/>
        </w:trPr>
        <w:tc>
          <w:tcPr>
            <w:tcW w:w="3840" w:type="dxa"/>
            <w:vAlign w:val="bottom"/>
          </w:tcPr>
          <w:p>
            <w:pPr>
              <w:ind w:left="100"/>
              <w:spacing w:after="0"/>
              <w:rPr>
                <w:sz w:val="20"/>
                <w:szCs w:val="20"/>
                <w:color w:val="auto"/>
              </w:rPr>
            </w:pPr>
            <w:r>
              <w:rPr>
                <w:rFonts w:ascii="Arial" w:cs="Arial" w:eastAsia="Arial" w:hAnsi="Arial"/>
                <w:sz w:val="14"/>
                <w:szCs w:val="14"/>
                <w:color w:val="auto"/>
              </w:rPr>
              <w:t>Grindr Inc.</w:t>
            </w:r>
          </w:p>
        </w:tc>
        <w:tc>
          <w:tcPr>
            <w:tcW w:w="7400" w:type="dxa"/>
            <w:vAlign w:val="bottom"/>
          </w:tcPr>
          <w:p>
            <w:pPr>
              <w:ind w:left="1800"/>
              <w:spacing w:after="0"/>
              <w:rPr>
                <w:sz w:val="20"/>
                <w:szCs w:val="20"/>
                <w:color w:val="auto"/>
              </w:rPr>
            </w:pPr>
            <w:r>
              <w:rPr>
                <w:rFonts w:ascii="Arial" w:cs="Arial" w:eastAsia="Arial" w:hAnsi="Arial"/>
                <w:sz w:val="14"/>
                <w:szCs w:val="14"/>
                <w:color w:val="auto"/>
              </w:rPr>
              <w:t>Unity Software Inc.</w:t>
            </w:r>
          </w:p>
        </w:tc>
      </w:tr>
      <w:tr>
        <w:trPr>
          <w:trHeight w:val="22"/>
        </w:trPr>
        <w:tc>
          <w:tcPr>
            <w:tcW w:w="384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r>
      <w:tr>
        <w:trPr>
          <w:trHeight w:val="209"/>
        </w:trPr>
        <w:tc>
          <w:tcPr>
            <w:tcW w:w="3840" w:type="dxa"/>
            <w:vAlign w:val="bottom"/>
            <w:tcBorders>
              <w:bottom w:val="single" w:sz="8" w:color="F1F2F2"/>
            </w:tcBorders>
            <w:shd w:val="clear" w:color="auto" w:fill="F1F2F2"/>
          </w:tcPr>
          <w:p>
            <w:pPr>
              <w:ind w:left="100"/>
              <w:spacing w:after="0"/>
              <w:rPr>
                <w:sz w:val="20"/>
                <w:szCs w:val="20"/>
                <w:color w:val="auto"/>
              </w:rPr>
            </w:pPr>
            <w:r>
              <w:rPr>
                <w:rFonts w:ascii="Arial" w:cs="Arial" w:eastAsia="Arial" w:hAnsi="Arial"/>
                <w:sz w:val="14"/>
                <w:szCs w:val="14"/>
                <w:color w:val="auto"/>
              </w:rPr>
              <w:t>Lionsgate Studios Corp.</w:t>
            </w:r>
          </w:p>
        </w:tc>
        <w:tc>
          <w:tcPr>
            <w:tcW w:w="7400" w:type="dxa"/>
            <w:vAlign w:val="bottom"/>
            <w:tcBorders>
              <w:bottom w:val="single" w:sz="8" w:color="F1F2F2"/>
            </w:tcBorders>
            <w:shd w:val="clear" w:color="auto" w:fill="F1F2F2"/>
          </w:tcPr>
          <w:p>
            <w:pPr>
              <w:ind w:left="1800"/>
              <w:spacing w:after="0"/>
              <w:rPr>
                <w:sz w:val="20"/>
                <w:szCs w:val="20"/>
                <w:color w:val="auto"/>
              </w:rPr>
            </w:pPr>
            <w:r>
              <w:rPr>
                <w:rFonts w:ascii="Arial" w:cs="Arial" w:eastAsia="Arial" w:hAnsi="Arial"/>
                <w:sz w:val="14"/>
                <w:szCs w:val="14"/>
                <w:color w:val="auto"/>
              </w:rPr>
              <w:t>Vimeo, Inc.</w:t>
            </w:r>
          </w:p>
        </w:tc>
      </w:tr>
      <w:tr>
        <w:trPr>
          <w:trHeight w:val="208"/>
        </w:trPr>
        <w:tc>
          <w:tcPr>
            <w:tcW w:w="3840" w:type="dxa"/>
            <w:vAlign w:val="bottom"/>
          </w:tcPr>
          <w:p>
            <w:pPr>
              <w:ind w:left="100"/>
              <w:spacing w:after="0"/>
              <w:rPr>
                <w:sz w:val="20"/>
                <w:szCs w:val="20"/>
                <w:color w:val="auto"/>
              </w:rPr>
            </w:pPr>
            <w:r>
              <w:rPr>
                <w:rFonts w:ascii="Arial" w:cs="Arial" w:eastAsia="Arial" w:hAnsi="Arial"/>
                <w:sz w:val="14"/>
                <w:szCs w:val="14"/>
                <w:color w:val="auto"/>
              </w:rPr>
              <w:t>PLAYSTUDIOS, Inc.</w:t>
            </w:r>
          </w:p>
        </w:tc>
        <w:tc>
          <w:tcPr>
            <w:tcW w:w="7400" w:type="dxa"/>
            <w:vAlign w:val="bottom"/>
          </w:tcPr>
          <w:p>
            <w:pPr>
              <w:ind w:left="1800"/>
              <w:spacing w:after="0"/>
              <w:rPr>
                <w:sz w:val="20"/>
                <w:szCs w:val="20"/>
                <w:color w:val="auto"/>
              </w:rPr>
            </w:pPr>
            <w:r>
              <w:rPr>
                <w:rFonts w:ascii="Arial" w:cs="Arial" w:eastAsia="Arial" w:hAnsi="Arial"/>
                <w:sz w:val="14"/>
                <w:szCs w:val="14"/>
                <w:color w:val="auto"/>
              </w:rPr>
              <w:t>Ziff Davis, Inc.</w:t>
            </w:r>
          </w:p>
        </w:tc>
      </w:tr>
      <w:tr>
        <w:trPr>
          <w:trHeight w:val="22"/>
        </w:trPr>
        <w:tc>
          <w:tcPr>
            <w:tcW w:w="384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r>
      <w:tr>
        <w:trPr>
          <w:trHeight w:val="210"/>
        </w:trPr>
        <w:tc>
          <w:tcPr>
            <w:tcW w:w="3840" w:type="dxa"/>
            <w:vAlign w:val="bottom"/>
            <w:tcBorders>
              <w:bottom w:val="single" w:sz="8" w:color="F1F2F2"/>
            </w:tcBorders>
            <w:shd w:val="clear" w:color="auto" w:fill="F1F2F2"/>
          </w:tcPr>
          <w:p>
            <w:pPr>
              <w:ind w:left="100"/>
              <w:spacing w:after="0"/>
              <w:rPr>
                <w:sz w:val="20"/>
                <w:szCs w:val="20"/>
                <w:color w:val="auto"/>
              </w:rPr>
            </w:pPr>
            <w:r>
              <w:rPr>
                <w:rFonts w:ascii="Arial" w:cs="Arial" w:eastAsia="Arial" w:hAnsi="Arial"/>
                <w:sz w:val="14"/>
                <w:szCs w:val="14"/>
                <w:color w:val="auto"/>
              </w:rPr>
              <w:t>Playtika Holding Corp.</w:t>
            </w:r>
          </w:p>
        </w:tc>
        <w:tc>
          <w:tcPr>
            <w:tcW w:w="7400" w:type="dxa"/>
            <w:vAlign w:val="bottom"/>
            <w:tcBorders>
              <w:bottom w:val="single" w:sz="8" w:color="F1F2F2"/>
            </w:tcBorders>
            <w:shd w:val="clear" w:color="auto" w:fill="F1F2F2"/>
          </w:tcPr>
          <w:p>
            <w:pPr>
              <w:spacing w:after="0"/>
              <w:rPr>
                <w:sz w:val="18"/>
                <w:szCs w:val="18"/>
                <w:color w:val="auto"/>
              </w:rPr>
            </w:pPr>
          </w:p>
        </w:tc>
      </w:tr>
      <w:tr>
        <w:trPr>
          <w:trHeight w:val="20"/>
        </w:trPr>
        <w:tc>
          <w:tcPr>
            <w:tcW w:w="3840" w:type="dxa"/>
            <w:vAlign w:val="bottom"/>
            <w:shd w:val="clear" w:color="auto" w:fill="000000"/>
          </w:tcPr>
          <w:p>
            <w:pPr>
              <w:spacing w:after="0" w:line="20" w:lineRule="exact"/>
              <w:rPr>
                <w:sz w:val="1"/>
                <w:szCs w:val="1"/>
                <w:color w:val="auto"/>
              </w:rPr>
            </w:pPr>
          </w:p>
        </w:tc>
        <w:tc>
          <w:tcPr>
            <w:tcW w:w="7400" w:type="dxa"/>
            <w:vAlign w:val="bottom"/>
            <w:shd w:val="clear" w:color="auto" w:fill="000000"/>
          </w:tcPr>
          <w:p>
            <w:pPr>
              <w:spacing w:after="0" w:line="20" w:lineRule="exact"/>
              <w:rPr>
                <w:sz w:val="1"/>
                <w:szCs w:val="1"/>
                <w:color w:val="auto"/>
              </w:rPr>
            </w:pPr>
          </w:p>
        </w:tc>
      </w:tr>
    </w:tbl>
    <w:p>
      <w:pPr>
        <w:spacing w:after="0" w:line="256" w:lineRule="exact"/>
        <w:rPr>
          <w:sz w:val="20"/>
          <w:szCs w:val="20"/>
          <w:color w:val="auto"/>
        </w:rPr>
      </w:pPr>
    </w:p>
    <w:p>
      <w:pPr>
        <w:ind w:right="80"/>
        <w:spacing w:after="0" w:line="321" w:lineRule="auto"/>
        <w:rPr>
          <w:sz w:val="20"/>
          <w:szCs w:val="20"/>
          <w:color w:val="auto"/>
        </w:rPr>
      </w:pPr>
      <w:r>
        <w:rPr>
          <w:rFonts w:ascii="Arial" w:cs="Arial" w:eastAsia="Arial" w:hAnsi="Arial"/>
          <w:sz w:val="16"/>
          <w:szCs w:val="16"/>
          <w:color w:val="auto"/>
        </w:rPr>
        <w:t>For fiscal year 2025, Squarespace was eliminated from the peer group as it was taken private in 2024. No new companies were added to the peer group for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304800</wp:posOffset>
            </wp:positionV>
            <wp:extent cx="282575" cy="2743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82575"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280" w:type="dxa"/>
            <w:vAlign w:val="bottom"/>
          </w:tcPr>
          <w:p>
            <w:pPr>
              <w:ind w:left="20"/>
              <w:spacing w:after="0"/>
              <w:rPr>
                <w:sz w:val="20"/>
                <w:szCs w:val="20"/>
                <w:color w:val="auto"/>
              </w:rPr>
            </w:pPr>
            <w:r>
              <w:rPr>
                <w:rFonts w:ascii="Arial" w:cs="Arial" w:eastAsia="Arial" w:hAnsi="Arial"/>
                <w:sz w:val="14"/>
                <w:szCs w:val="14"/>
                <w:b w:val="1"/>
                <w:bCs w:val="1"/>
                <w:color w:val="auto"/>
              </w:rPr>
              <w:t>2026 Proxy Statement</w:t>
            </w:r>
          </w:p>
        </w:tc>
        <w:tc>
          <w:tcPr>
            <w:tcW w:w="4960" w:type="dxa"/>
            <w:vAlign w:val="bottom"/>
          </w:tcPr>
          <w:p>
            <w:pPr>
              <w:jc w:val="right"/>
              <w:spacing w:after="0"/>
              <w:rPr>
                <w:sz w:val="20"/>
                <w:szCs w:val="20"/>
                <w:color w:val="auto"/>
              </w:rPr>
            </w:pPr>
            <w:r>
              <w:rPr>
                <w:rFonts w:ascii="Arial" w:cs="Arial" w:eastAsia="Arial" w:hAnsi="Arial"/>
                <w:sz w:val="14"/>
                <w:szCs w:val="14"/>
                <w:b w:val="1"/>
                <w:bCs w:val="1"/>
                <w:color w:val="auto"/>
              </w:rPr>
              <w:t>23</w:t>
            </w:r>
          </w:p>
        </w:tc>
      </w:tr>
      <w:tr>
        <w:trPr>
          <w:trHeight w:val="360"/>
        </w:trPr>
        <w:tc>
          <w:tcPr>
            <w:tcW w:w="6280" w:type="dxa"/>
            <w:vAlign w:val="bottom"/>
            <w:tcBorders>
              <w:bottom w:val="single" w:sz="8" w:color="9A9A9A"/>
            </w:tcBorders>
          </w:tcPr>
          <w:p>
            <w:pPr>
              <w:spacing w:after="0"/>
              <w:rPr>
                <w:sz w:val="24"/>
                <w:szCs w:val="24"/>
                <w:color w:val="auto"/>
              </w:rPr>
            </w:pPr>
          </w:p>
        </w:tc>
        <w:tc>
          <w:tcPr>
            <w:tcW w:w="4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7" w:name="page28"/>
    <w:bookmarkEnd w:id="27"/>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20"/>
          <w:szCs w:val="20"/>
          <w:b w:val="1"/>
          <w:bCs w:val="1"/>
          <w:color w:val="00DC64"/>
        </w:rPr>
        <w:t>ELEMENTS OF COMPENSATION</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Our current executive compensation program, which is set by our Compensation Committee, consists of the following components:</w:t>
      </w:r>
    </w:p>
    <w:p>
      <w:pPr>
        <w:spacing w:after="0" w:line="194" w:lineRule="exact"/>
        <w:rPr>
          <w:sz w:val="20"/>
          <w:szCs w:val="20"/>
          <w:color w:val="auto"/>
        </w:rPr>
      </w:pPr>
    </w:p>
    <w:p>
      <w:pPr>
        <w:ind w:left="640" w:hanging="308"/>
        <w:spacing w:after="0"/>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 salary;</w:t>
      </w:r>
    </w:p>
    <w:p>
      <w:pPr>
        <w:spacing w:after="0" w:line="99" w:lineRule="exact"/>
        <w:rPr>
          <w:rFonts w:ascii="Arial" w:cs="Arial" w:eastAsia="Arial" w:hAnsi="Arial"/>
          <w:sz w:val="16"/>
          <w:szCs w:val="16"/>
          <w:color w:val="auto"/>
        </w:rPr>
      </w:pPr>
    </w:p>
    <w:p>
      <w:pPr>
        <w:ind w:left="640" w:hanging="308"/>
        <w:spacing w:after="0"/>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annual cash bonuses linked to our overall performance and individual performance;</w:t>
      </w:r>
    </w:p>
    <w:p>
      <w:pPr>
        <w:spacing w:after="0" w:line="99" w:lineRule="exact"/>
        <w:rPr>
          <w:rFonts w:ascii="Arial" w:cs="Arial" w:eastAsia="Arial" w:hAnsi="Arial"/>
          <w:sz w:val="16"/>
          <w:szCs w:val="16"/>
          <w:color w:val="auto"/>
        </w:rPr>
      </w:pPr>
    </w:p>
    <w:p>
      <w:pPr>
        <w:ind w:left="660" w:right="420" w:hanging="328"/>
        <w:spacing w:after="0" w:line="334" w:lineRule="auto"/>
        <w:tabs>
          <w:tab w:leader="none" w:pos="649" w:val="left"/>
        </w:tabs>
        <w:numPr>
          <w:ilvl w:val="0"/>
          <w:numId w:val="14"/>
        </w:numPr>
        <w:rPr>
          <w:rFonts w:ascii="Arial" w:cs="Arial" w:eastAsia="Arial" w:hAnsi="Arial"/>
          <w:sz w:val="16"/>
          <w:szCs w:val="16"/>
          <w:color w:val="auto"/>
        </w:rPr>
      </w:pPr>
      <w:r>
        <w:rPr>
          <w:rFonts w:ascii="Arial" w:cs="Arial" w:eastAsia="Arial" w:hAnsi="Arial"/>
          <w:sz w:val="16"/>
          <w:szCs w:val="16"/>
          <w:color w:val="auto"/>
        </w:rPr>
        <w:t>periodic grants of long-term equity-based compensation, such as nonqualified stock options, restricted stock units and, beginning in fiscal year 2026, performance-based restricted stock units;</w:t>
      </w:r>
    </w:p>
    <w:p>
      <w:pPr>
        <w:ind w:left="640" w:hanging="308"/>
        <w:spacing w:after="0"/>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other executive benefits and perquisites; and</w:t>
      </w:r>
    </w:p>
    <w:p>
      <w:pPr>
        <w:spacing w:after="0" w:line="86" w:lineRule="exact"/>
        <w:rPr>
          <w:rFonts w:ascii="Arial" w:cs="Arial" w:eastAsia="Arial" w:hAnsi="Arial"/>
          <w:sz w:val="16"/>
          <w:szCs w:val="16"/>
          <w:color w:val="auto"/>
        </w:rPr>
      </w:pPr>
    </w:p>
    <w:p>
      <w:pPr>
        <w:ind w:left="640" w:hanging="308"/>
        <w:spacing w:after="0"/>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employment agreements and a severance policy, which contain certain termination and/or change in control benefits.</w:t>
      </w:r>
    </w:p>
    <w:p>
      <w:pPr>
        <w:spacing w:after="0" w:line="208" w:lineRule="exact"/>
        <w:rPr>
          <w:sz w:val="20"/>
          <w:szCs w:val="20"/>
          <w:color w:val="auto"/>
        </w:rPr>
      </w:pPr>
    </w:p>
    <w:p>
      <w:pPr>
        <w:spacing w:after="0" w:line="339" w:lineRule="auto"/>
        <w:rPr>
          <w:sz w:val="20"/>
          <w:szCs w:val="20"/>
          <w:color w:val="auto"/>
        </w:rPr>
      </w:pPr>
      <w:r>
        <w:rPr>
          <w:rFonts w:ascii="Arial" w:cs="Arial" w:eastAsia="Arial" w:hAnsi="Arial"/>
          <w:sz w:val="16"/>
          <w:szCs w:val="16"/>
          <w:color w:val="auto"/>
        </w:rPr>
        <w:t>We combine these elements in order to formulate compensation packages that provide competitive pay, reward the achievement of financial, operational and strategic objectives and align the interests of our executive officers and other senior personnel with those of our stockholders.</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Pay Mix</w:t>
      </w:r>
    </w:p>
    <w:p>
      <w:pPr>
        <w:spacing w:after="0" w:line="140" w:lineRule="exact"/>
        <w:rPr>
          <w:sz w:val="20"/>
          <w:szCs w:val="20"/>
          <w:color w:val="auto"/>
        </w:rPr>
      </w:pPr>
    </w:p>
    <w:p>
      <w:pPr>
        <w:ind w:right="60"/>
        <w:spacing w:after="0" w:line="303" w:lineRule="auto"/>
        <w:rPr>
          <w:sz w:val="20"/>
          <w:szCs w:val="20"/>
          <w:color w:val="auto"/>
        </w:rPr>
      </w:pPr>
      <w:r>
        <w:rPr>
          <w:rFonts w:ascii="Arial" w:cs="Arial" w:eastAsia="Arial" w:hAnsi="Arial"/>
          <w:sz w:val="16"/>
          <w:szCs w:val="16"/>
          <w:color w:val="auto"/>
        </w:rPr>
        <w:t>We utilize the elements of compensation listed above because we believe that such elements provide a well-proportioned mix of secure compensation, retention value and at-risk compensation that produces short-term and long-term performance incentives and rewards. By following this approach, we provide our NEOs with a measure of security in the minimum expected level of compensation, while motivating our NEOs to focus on business metrics that will produce a high level of short-term and long-term performance for the Company and long-term wealth creation for each NEO, as well as reducing the risk of recruitment of top executive talent by competitors. Our annual performance-based cash bonus and long-term incentive program likewise provides an appropriate balance between incentivizing short-term and long-term performance.</w:t>
      </w:r>
    </w:p>
    <w:p>
      <w:pPr>
        <w:spacing w:after="0" w:line="132" w:lineRule="exact"/>
        <w:rPr>
          <w:sz w:val="20"/>
          <w:szCs w:val="20"/>
          <w:color w:val="auto"/>
        </w:rPr>
      </w:pPr>
    </w:p>
    <w:p>
      <w:pPr>
        <w:ind w:right="60"/>
        <w:spacing w:after="0" w:line="319" w:lineRule="auto"/>
        <w:rPr>
          <w:sz w:val="20"/>
          <w:szCs w:val="20"/>
          <w:color w:val="auto"/>
        </w:rPr>
      </w:pPr>
      <w:r>
        <w:rPr>
          <w:rFonts w:ascii="Arial" w:cs="Arial" w:eastAsia="Arial" w:hAnsi="Arial"/>
          <w:sz w:val="16"/>
          <w:szCs w:val="16"/>
          <w:color w:val="auto"/>
        </w:rPr>
        <w:t>For our NEOs, the mix of compensation is weighted toward at-risk pay (performance-based annual incentives and service-based long-term equity incentives). Maintaining this pay mix results fundamentally in a pay-for-performance orientation for our NEOs, which is aligned with our stated compensation philosophy of providing compensation commensurate with performance.</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Base Salary</w:t>
      </w:r>
    </w:p>
    <w:p>
      <w:pPr>
        <w:spacing w:after="0" w:line="140" w:lineRule="exact"/>
        <w:rPr>
          <w:sz w:val="20"/>
          <w:szCs w:val="20"/>
          <w:color w:val="auto"/>
        </w:rPr>
      </w:pPr>
    </w:p>
    <w:p>
      <w:pPr>
        <w:ind w:right="60"/>
        <w:spacing w:after="0" w:line="304" w:lineRule="auto"/>
        <w:rPr>
          <w:sz w:val="20"/>
          <w:szCs w:val="20"/>
          <w:color w:val="auto"/>
        </w:rPr>
      </w:pPr>
      <w:r>
        <w:rPr>
          <w:rFonts w:ascii="Arial" w:cs="Arial" w:eastAsia="Arial" w:hAnsi="Arial"/>
          <w:sz w:val="16"/>
          <w:szCs w:val="16"/>
          <w:color w:val="auto"/>
        </w:rPr>
        <w:t>The base salary established for each of our NEOs is intended to reflect each individual’s responsibilities, experience, prior performance and other discretionary factors deemed relevant by our Compensation Committee. Base salary is also designed to provide our NEOs with steady cash flow during the course of the fiscal year that is not contingent on short-term variations in our corporate performance. Our Compensation Committee determines market level compensation for base salaries based on our NEOs’ experience in the industry with reference to the base salaries of similarly-situated executives located in similar geographies at other companies of similar size and stage of development operating in our industry.</w:t>
      </w:r>
    </w:p>
    <w:p>
      <w:pPr>
        <w:spacing w:after="0" w:line="131"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With these principles in mind, the Board and the Compensation Committee reviewed and established the NEOs’ base salaries for 2025. Generally, the base salaries paid to our NEOs are subject to adjustment from time to time based on the results of annual review by the Compensation Committee. For fiscal year 2025, the Board and the Compensation Committee maintained the base salaries of our NEOs at their 2024 levels, except for Yongsoo Kim and Hyeeun Son, whose salaries were adjusted effective January 1, 2025 to reflect their increased responsibilities and individual performance.</w:t>
      </w:r>
    </w:p>
    <w:p>
      <w:pPr>
        <w:spacing w:after="0" w:line="200" w:lineRule="exact"/>
        <w:rPr>
          <w:sz w:val="20"/>
          <w:szCs w:val="20"/>
          <w:color w:val="auto"/>
        </w:rPr>
      </w:pPr>
    </w:p>
    <w:p>
      <w:pPr>
        <w:spacing w:after="0" w:line="245" w:lineRule="exact"/>
        <w:rPr>
          <w:sz w:val="20"/>
          <w:szCs w:val="20"/>
          <w:color w:val="auto"/>
        </w:rPr>
      </w:pPr>
    </w:p>
    <w:p>
      <w:pPr>
        <w:ind w:left="20"/>
        <w:spacing w:after="0"/>
        <w:tabs>
          <w:tab w:leader="none" w:pos="5360" w:val="left"/>
        </w:tabs>
        <w:rPr>
          <w:sz w:val="20"/>
          <w:szCs w:val="20"/>
          <w:color w:val="auto"/>
        </w:rPr>
      </w:pPr>
      <w:r>
        <w:rPr>
          <w:rFonts w:ascii="Arial" w:cs="Arial" w:eastAsia="Arial" w:hAnsi="Arial"/>
          <w:sz w:val="14"/>
          <w:szCs w:val="14"/>
          <w:b w:val="1"/>
          <w:bCs w:val="1"/>
          <w:color w:val="auto"/>
        </w:rPr>
        <w:t>24</w:t>
      </w:r>
      <w:r>
        <w:rPr>
          <w:sz w:val="20"/>
          <w:szCs w:val="20"/>
          <w:color w:val="auto"/>
        </w:rPr>
        <w:tab/>
      </w:r>
      <w:r>
        <w:rPr>
          <w:sz w:val="1"/>
          <w:szCs w:val="1"/>
          <w:color w:val="auto"/>
        </w:rPr>
        <w:drawing>
          <wp:inline distT="0" distB="0" distL="0" distR="0">
            <wp:extent cx="282575" cy="274320"/>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82575" cy="274320"/>
                    </a:xfrm>
                    <a:prstGeom prst="rect">
                      <a:avLst/>
                    </a:prstGeom>
                    <a:noFill/>
                    <a:ln>
                      <a:noFill/>
                    </a:ln>
                  </pic:spPr>
                </pic:pic>
              </a:graphicData>
            </a:graphic>
          </wp:inline>
        </w:drawing>
      </w:r>
      <w:r>
        <w:rPr>
          <w:rFonts w:ascii="Arial" w:cs="Arial" w:eastAsia="Arial" w:hAnsi="Arial"/>
          <w:sz w:val="14"/>
          <w:szCs w:val="14"/>
          <w:b w:val="1"/>
          <w:bCs w:val="1"/>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8" w:name="page29"/>
    <w:bookmarkEnd w:id="28"/>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6"/>
          <w:szCs w:val="16"/>
          <w:color w:val="auto"/>
        </w:rPr>
        <w:t>The annualized base salaries paid to our NEOs in fiscal years 2024 and 2025 are set forth in the chart below.</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00" w:type="dxa"/>
            <w:vAlign w:val="bottom"/>
          </w:tcPr>
          <w:p>
            <w:pPr>
              <w:spacing w:after="0"/>
              <w:rPr>
                <w:sz w:val="15"/>
                <w:szCs w:val="15"/>
                <w:color w:val="auto"/>
              </w:rPr>
            </w:pPr>
          </w:p>
        </w:tc>
        <w:tc>
          <w:tcPr>
            <w:tcW w:w="3520" w:type="dxa"/>
            <w:vAlign w:val="bottom"/>
          </w:tcPr>
          <w:p>
            <w:pPr>
              <w:jc w:val="right"/>
              <w:ind w:right="148"/>
              <w:spacing w:after="0"/>
              <w:rPr>
                <w:sz w:val="20"/>
                <w:szCs w:val="20"/>
                <w:color w:val="auto"/>
              </w:rPr>
            </w:pPr>
            <w:r>
              <w:rPr>
                <w:rFonts w:ascii="Arial" w:cs="Arial" w:eastAsia="Arial" w:hAnsi="Arial"/>
                <w:sz w:val="14"/>
                <w:szCs w:val="14"/>
                <w:b w:val="1"/>
                <w:bCs w:val="1"/>
                <w:color w:val="auto"/>
              </w:rPr>
              <w:t>Fiscal Year 2024</w:t>
            </w:r>
          </w:p>
        </w:tc>
        <w:tc>
          <w:tcPr>
            <w:tcW w:w="2060" w:type="dxa"/>
            <w:vAlign w:val="bottom"/>
          </w:tcPr>
          <w:p>
            <w:pPr>
              <w:jc w:val="right"/>
              <w:ind w:right="328"/>
              <w:spacing w:after="0"/>
              <w:rPr>
                <w:sz w:val="20"/>
                <w:szCs w:val="20"/>
                <w:color w:val="auto"/>
              </w:rPr>
            </w:pPr>
            <w:r>
              <w:rPr>
                <w:rFonts w:ascii="Arial" w:cs="Arial" w:eastAsia="Arial" w:hAnsi="Arial"/>
                <w:sz w:val="14"/>
                <w:szCs w:val="14"/>
                <w:b w:val="1"/>
                <w:bCs w:val="1"/>
                <w:color w:val="auto"/>
              </w:rPr>
              <w:t>Fiscal Year 2025</w:t>
            </w:r>
          </w:p>
        </w:tc>
        <w:tc>
          <w:tcPr>
            <w:tcW w:w="1660" w:type="dxa"/>
            <w:vAlign w:val="bottom"/>
          </w:tcPr>
          <w:p>
            <w:pPr>
              <w:jc w:val="right"/>
              <w:ind w:right="88"/>
              <w:spacing w:after="0"/>
              <w:rPr>
                <w:sz w:val="20"/>
                <w:szCs w:val="20"/>
                <w:color w:val="auto"/>
              </w:rPr>
            </w:pPr>
            <w:r>
              <w:rPr>
                <w:rFonts w:ascii="Arial" w:cs="Arial" w:eastAsia="Arial" w:hAnsi="Arial"/>
                <w:sz w:val="14"/>
                <w:szCs w:val="14"/>
                <w:b w:val="1"/>
                <w:bCs w:val="1"/>
                <w:color w:val="auto"/>
              </w:rPr>
              <w:t>Fiscal Year 2025</w:t>
            </w:r>
          </w:p>
        </w:tc>
      </w:tr>
      <w:tr>
        <w:trPr>
          <w:trHeight w:val="164"/>
        </w:trPr>
        <w:tc>
          <w:tcPr>
            <w:tcW w:w="4000" w:type="dxa"/>
            <w:vAlign w:val="bottom"/>
          </w:tcPr>
          <w:p>
            <w:pPr>
              <w:spacing w:after="0"/>
              <w:rPr>
                <w:sz w:val="14"/>
                <w:szCs w:val="14"/>
                <w:color w:val="auto"/>
              </w:rPr>
            </w:pPr>
          </w:p>
        </w:tc>
        <w:tc>
          <w:tcPr>
            <w:tcW w:w="3520" w:type="dxa"/>
            <w:vAlign w:val="bottom"/>
          </w:tcPr>
          <w:p>
            <w:pPr>
              <w:jc w:val="right"/>
              <w:ind w:right="148"/>
              <w:spacing w:after="0" w:line="164" w:lineRule="exact"/>
              <w:rPr>
                <w:sz w:val="20"/>
                <w:szCs w:val="20"/>
                <w:color w:val="auto"/>
              </w:rPr>
            </w:pPr>
            <w:r>
              <w:rPr>
                <w:rFonts w:ascii="Arial" w:cs="Arial" w:eastAsia="Arial" w:hAnsi="Arial"/>
                <w:sz w:val="14"/>
                <w:szCs w:val="14"/>
                <w:b w:val="1"/>
                <w:bCs w:val="1"/>
                <w:color w:val="auto"/>
              </w:rPr>
              <w:t>Base Salary</w:t>
            </w:r>
            <w:r>
              <w:rPr>
                <w:rFonts w:ascii="Arial" w:cs="Arial" w:eastAsia="Arial" w:hAnsi="Arial"/>
                <w:sz w:val="18"/>
                <w:szCs w:val="18"/>
                <w:b w:val="1"/>
                <w:bCs w:val="1"/>
                <w:color w:val="auto"/>
                <w:vertAlign w:val="superscript"/>
              </w:rPr>
              <w:t>(1)</w:t>
            </w:r>
          </w:p>
        </w:tc>
        <w:tc>
          <w:tcPr>
            <w:tcW w:w="2060" w:type="dxa"/>
            <w:vAlign w:val="bottom"/>
          </w:tcPr>
          <w:p>
            <w:pPr>
              <w:jc w:val="right"/>
              <w:ind w:right="328"/>
              <w:spacing w:after="0"/>
              <w:rPr>
                <w:sz w:val="20"/>
                <w:szCs w:val="20"/>
                <w:color w:val="auto"/>
              </w:rPr>
            </w:pPr>
            <w:r>
              <w:rPr>
                <w:rFonts w:ascii="Arial" w:cs="Arial" w:eastAsia="Arial" w:hAnsi="Arial"/>
                <w:sz w:val="14"/>
                <w:szCs w:val="14"/>
                <w:b w:val="1"/>
                <w:bCs w:val="1"/>
                <w:color w:val="auto"/>
              </w:rPr>
              <w:t>Base Salary Increase</w:t>
            </w:r>
          </w:p>
        </w:tc>
        <w:tc>
          <w:tcPr>
            <w:tcW w:w="1660" w:type="dxa"/>
            <w:vAlign w:val="bottom"/>
          </w:tcPr>
          <w:p>
            <w:pPr>
              <w:jc w:val="right"/>
              <w:ind w:right="88"/>
              <w:spacing w:after="0" w:line="164" w:lineRule="exact"/>
              <w:rPr>
                <w:sz w:val="20"/>
                <w:szCs w:val="20"/>
                <w:color w:val="auto"/>
              </w:rPr>
            </w:pPr>
            <w:r>
              <w:rPr>
                <w:rFonts w:ascii="Arial" w:cs="Arial" w:eastAsia="Arial" w:hAnsi="Arial"/>
                <w:sz w:val="14"/>
                <w:szCs w:val="14"/>
                <w:b w:val="1"/>
                <w:bCs w:val="1"/>
                <w:color w:val="auto"/>
              </w:rPr>
              <w:t>Base Salary</w:t>
            </w:r>
            <w:r>
              <w:rPr>
                <w:rFonts w:ascii="Arial" w:cs="Arial" w:eastAsia="Arial" w:hAnsi="Arial"/>
                <w:sz w:val="18"/>
                <w:szCs w:val="18"/>
                <w:b w:val="1"/>
                <w:bCs w:val="1"/>
                <w:color w:val="auto"/>
                <w:vertAlign w:val="superscript"/>
              </w:rPr>
              <w:t>(2)</w:t>
            </w:r>
          </w:p>
        </w:tc>
      </w:tr>
      <w:tr>
        <w:trPr>
          <w:trHeight w:val="196"/>
        </w:trPr>
        <w:tc>
          <w:tcPr>
            <w:tcW w:w="4000" w:type="dxa"/>
            <w:vAlign w:val="bottom"/>
          </w:tcPr>
          <w:p>
            <w:pPr>
              <w:ind w:left="100"/>
              <w:spacing w:after="0"/>
              <w:rPr>
                <w:sz w:val="20"/>
                <w:szCs w:val="20"/>
                <w:color w:val="auto"/>
              </w:rPr>
            </w:pPr>
            <w:r>
              <w:rPr>
                <w:rFonts w:ascii="Arial" w:cs="Arial" w:eastAsia="Arial" w:hAnsi="Arial"/>
                <w:sz w:val="14"/>
                <w:szCs w:val="14"/>
                <w:b w:val="1"/>
                <w:bCs w:val="1"/>
                <w:color w:val="auto"/>
              </w:rPr>
              <w:t>Named Executive Officer</w:t>
            </w:r>
          </w:p>
        </w:tc>
        <w:tc>
          <w:tcPr>
            <w:tcW w:w="352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2060" w:type="dxa"/>
            <w:vAlign w:val="bottom"/>
          </w:tcPr>
          <w:p>
            <w:pPr>
              <w:jc w:val="right"/>
              <w:ind w:right="328"/>
              <w:spacing w:after="0"/>
              <w:rPr>
                <w:sz w:val="20"/>
                <w:szCs w:val="20"/>
                <w:color w:val="auto"/>
              </w:rPr>
            </w:pPr>
            <w:r>
              <w:rPr>
                <w:rFonts w:ascii="Arial" w:cs="Arial" w:eastAsia="Arial" w:hAnsi="Arial"/>
                <w:sz w:val="14"/>
                <w:szCs w:val="14"/>
                <w:b w:val="1"/>
                <w:bCs w:val="1"/>
                <w:color w:val="auto"/>
              </w:rPr>
              <w:t>($)</w:t>
            </w:r>
          </w:p>
        </w:tc>
        <w:tc>
          <w:tcPr>
            <w:tcW w:w="16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r>
      <w:tr>
        <w:trPr>
          <w:trHeight w:val="110"/>
        </w:trPr>
        <w:tc>
          <w:tcPr>
            <w:tcW w:w="4000" w:type="dxa"/>
            <w:vAlign w:val="bottom"/>
          </w:tcPr>
          <w:p>
            <w:pPr>
              <w:spacing w:after="0"/>
              <w:rPr>
                <w:sz w:val="9"/>
                <w:szCs w:val="9"/>
                <w:color w:val="auto"/>
              </w:rPr>
            </w:pPr>
          </w:p>
        </w:tc>
        <w:tc>
          <w:tcPr>
            <w:tcW w:w="3520" w:type="dxa"/>
            <w:vAlign w:val="bottom"/>
          </w:tcPr>
          <w:p>
            <w:pPr>
              <w:spacing w:after="0"/>
              <w:rPr>
                <w:sz w:val="9"/>
                <w:szCs w:val="9"/>
                <w:color w:val="auto"/>
              </w:rPr>
            </w:pPr>
          </w:p>
        </w:tc>
        <w:tc>
          <w:tcPr>
            <w:tcW w:w="2060" w:type="dxa"/>
            <w:vAlign w:val="bottom"/>
          </w:tcPr>
          <w:p>
            <w:pPr>
              <w:spacing w:after="0"/>
              <w:rPr>
                <w:sz w:val="9"/>
                <w:szCs w:val="9"/>
                <w:color w:val="auto"/>
              </w:rPr>
            </w:pPr>
          </w:p>
        </w:tc>
        <w:tc>
          <w:tcPr>
            <w:tcW w:w="1660" w:type="dxa"/>
            <w:vAlign w:val="bottom"/>
          </w:tcPr>
          <w:p>
            <w:pPr>
              <w:spacing w:after="0"/>
              <w:rPr>
                <w:sz w:val="9"/>
                <w:szCs w:val="9"/>
                <w:color w:val="auto"/>
              </w:rPr>
            </w:pPr>
          </w:p>
        </w:tc>
      </w:tr>
      <w:tr>
        <w:trPr>
          <w:trHeight w:val="229"/>
        </w:trPr>
        <w:tc>
          <w:tcPr>
            <w:tcW w:w="4000" w:type="dxa"/>
            <w:vAlign w:val="bottom"/>
            <w:shd w:val="clear" w:color="auto" w:fill="F1F2F2"/>
          </w:tcPr>
          <w:p>
            <w:pPr>
              <w:ind w:left="100"/>
              <w:spacing w:after="0"/>
              <w:rPr>
                <w:sz w:val="20"/>
                <w:szCs w:val="20"/>
                <w:color w:val="auto"/>
              </w:rPr>
            </w:pPr>
            <w:r>
              <w:rPr>
                <w:rFonts w:ascii="Arial" w:cs="Arial" w:eastAsia="Arial" w:hAnsi="Arial"/>
                <w:sz w:val="14"/>
                <w:szCs w:val="14"/>
                <w:b w:val="1"/>
                <w:bCs w:val="1"/>
                <w:color w:val="auto"/>
              </w:rPr>
              <w:t>Junkoo Kim</w:t>
            </w:r>
          </w:p>
        </w:tc>
        <w:tc>
          <w:tcPr>
            <w:tcW w:w="3520" w:type="dxa"/>
            <w:vAlign w:val="bottom"/>
            <w:shd w:val="clear" w:color="auto" w:fill="F1F2F2"/>
          </w:tcPr>
          <w:p>
            <w:pPr>
              <w:jc w:val="right"/>
              <w:ind w:right="208"/>
              <w:spacing w:after="0"/>
              <w:rPr>
                <w:sz w:val="20"/>
                <w:szCs w:val="20"/>
                <w:color w:val="auto"/>
              </w:rPr>
            </w:pPr>
            <w:r>
              <w:rPr>
                <w:rFonts w:ascii="Arial" w:cs="Arial" w:eastAsia="Arial" w:hAnsi="Arial"/>
                <w:sz w:val="14"/>
                <w:szCs w:val="14"/>
                <w:color w:val="auto"/>
              </w:rPr>
              <w:t>582,041</w:t>
            </w:r>
          </w:p>
        </w:tc>
        <w:tc>
          <w:tcPr>
            <w:tcW w:w="2060" w:type="dxa"/>
            <w:vAlign w:val="bottom"/>
            <w:shd w:val="clear" w:color="auto" w:fill="F1F2F2"/>
          </w:tcPr>
          <w:p>
            <w:pPr>
              <w:jc w:val="right"/>
              <w:ind w:right="368"/>
              <w:spacing w:after="0"/>
              <w:rPr>
                <w:sz w:val="20"/>
                <w:szCs w:val="20"/>
                <w:color w:val="auto"/>
              </w:rPr>
            </w:pPr>
            <w:r>
              <w:rPr>
                <w:rFonts w:ascii="Arial" w:cs="Arial" w:eastAsia="Arial" w:hAnsi="Arial"/>
                <w:sz w:val="14"/>
                <w:szCs w:val="14"/>
                <w:color w:val="auto"/>
              </w:rPr>
              <w:t>2,496</w:t>
            </w:r>
          </w:p>
        </w:tc>
        <w:tc>
          <w:tcPr>
            <w:tcW w:w="1660" w:type="dxa"/>
            <w:vAlign w:val="bottom"/>
            <w:shd w:val="clear" w:color="auto" w:fill="F1F2F2"/>
          </w:tcPr>
          <w:p>
            <w:pPr>
              <w:jc w:val="right"/>
              <w:ind w:right="148"/>
              <w:spacing w:after="0"/>
              <w:rPr>
                <w:sz w:val="20"/>
                <w:szCs w:val="20"/>
                <w:color w:val="auto"/>
              </w:rPr>
            </w:pPr>
            <w:r>
              <w:rPr>
                <w:rFonts w:ascii="Arial" w:cs="Arial" w:eastAsia="Arial" w:hAnsi="Arial"/>
                <w:sz w:val="14"/>
                <w:szCs w:val="14"/>
                <w:color w:val="auto"/>
              </w:rPr>
              <w:t>584,537</w:t>
            </w:r>
          </w:p>
        </w:tc>
      </w:tr>
      <w:tr>
        <w:trPr>
          <w:trHeight w:val="222"/>
        </w:trPr>
        <w:tc>
          <w:tcPr>
            <w:tcW w:w="4000" w:type="dxa"/>
            <w:vAlign w:val="bottom"/>
          </w:tcPr>
          <w:p>
            <w:pPr>
              <w:ind w:left="100"/>
              <w:spacing w:after="0"/>
              <w:rPr>
                <w:sz w:val="20"/>
                <w:szCs w:val="20"/>
                <w:color w:val="auto"/>
              </w:rPr>
            </w:pPr>
            <w:r>
              <w:rPr>
                <w:rFonts w:ascii="Arial" w:cs="Arial" w:eastAsia="Arial" w:hAnsi="Arial"/>
                <w:sz w:val="14"/>
                <w:szCs w:val="14"/>
                <w:b w:val="1"/>
                <w:bCs w:val="1"/>
                <w:color w:val="auto"/>
              </w:rPr>
              <w:t>David J. Lee</w:t>
            </w:r>
          </w:p>
        </w:tc>
        <w:tc>
          <w:tcPr>
            <w:tcW w:w="3520" w:type="dxa"/>
            <w:vAlign w:val="bottom"/>
          </w:tcPr>
          <w:p>
            <w:pPr>
              <w:jc w:val="right"/>
              <w:ind w:right="208"/>
              <w:spacing w:after="0"/>
              <w:rPr>
                <w:sz w:val="20"/>
                <w:szCs w:val="20"/>
                <w:color w:val="auto"/>
              </w:rPr>
            </w:pPr>
            <w:r>
              <w:rPr>
                <w:rFonts w:ascii="Arial" w:cs="Arial" w:eastAsia="Arial" w:hAnsi="Arial"/>
                <w:sz w:val="14"/>
                <w:szCs w:val="14"/>
                <w:color w:val="auto"/>
              </w:rPr>
              <w:t>500,000</w:t>
            </w:r>
          </w:p>
        </w:tc>
        <w:tc>
          <w:tcPr>
            <w:tcW w:w="206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660" w:type="dxa"/>
            <w:vAlign w:val="bottom"/>
          </w:tcPr>
          <w:p>
            <w:pPr>
              <w:jc w:val="right"/>
              <w:ind w:right="148"/>
              <w:spacing w:after="0"/>
              <w:rPr>
                <w:sz w:val="20"/>
                <w:szCs w:val="20"/>
                <w:color w:val="auto"/>
              </w:rPr>
            </w:pPr>
            <w:r>
              <w:rPr>
                <w:rFonts w:ascii="Arial" w:cs="Arial" w:eastAsia="Arial" w:hAnsi="Arial"/>
                <w:sz w:val="14"/>
                <w:szCs w:val="14"/>
                <w:color w:val="auto"/>
              </w:rPr>
              <w:t>500,000</w:t>
            </w:r>
          </w:p>
        </w:tc>
      </w:tr>
      <w:tr>
        <w:trPr>
          <w:trHeight w:val="237"/>
        </w:trPr>
        <w:tc>
          <w:tcPr>
            <w:tcW w:w="4000" w:type="dxa"/>
            <w:vAlign w:val="bottom"/>
            <w:shd w:val="clear" w:color="auto" w:fill="F1F2F2"/>
          </w:tcPr>
          <w:p>
            <w:pPr>
              <w:ind w:left="100"/>
              <w:spacing w:after="0"/>
              <w:rPr>
                <w:sz w:val="20"/>
                <w:szCs w:val="20"/>
                <w:color w:val="auto"/>
              </w:rPr>
            </w:pPr>
            <w:r>
              <w:rPr>
                <w:rFonts w:ascii="Arial" w:cs="Arial" w:eastAsia="Arial" w:hAnsi="Arial"/>
                <w:sz w:val="14"/>
                <w:szCs w:val="14"/>
                <w:b w:val="1"/>
                <w:bCs w:val="1"/>
                <w:color w:val="auto"/>
              </w:rPr>
              <w:t>Chankyu Park</w:t>
            </w:r>
          </w:p>
        </w:tc>
        <w:tc>
          <w:tcPr>
            <w:tcW w:w="3520" w:type="dxa"/>
            <w:vAlign w:val="bottom"/>
            <w:shd w:val="clear" w:color="auto" w:fill="F1F2F2"/>
          </w:tcPr>
          <w:p>
            <w:pPr>
              <w:jc w:val="right"/>
              <w:ind w:right="208"/>
              <w:spacing w:after="0"/>
              <w:rPr>
                <w:sz w:val="20"/>
                <w:szCs w:val="20"/>
                <w:color w:val="auto"/>
              </w:rPr>
            </w:pPr>
            <w:r>
              <w:rPr>
                <w:rFonts w:ascii="Arial" w:cs="Arial" w:eastAsia="Arial" w:hAnsi="Arial"/>
                <w:sz w:val="14"/>
                <w:szCs w:val="14"/>
                <w:color w:val="auto"/>
              </w:rPr>
              <w:t>217,687</w:t>
            </w:r>
          </w:p>
        </w:tc>
        <w:tc>
          <w:tcPr>
            <w:tcW w:w="2060" w:type="dxa"/>
            <w:vAlign w:val="bottom"/>
            <w:shd w:val="clear" w:color="auto" w:fill="F1F2F2"/>
          </w:tcPr>
          <w:p>
            <w:pPr>
              <w:jc w:val="right"/>
              <w:ind w:right="368"/>
              <w:spacing w:after="0"/>
              <w:rPr>
                <w:sz w:val="20"/>
                <w:szCs w:val="20"/>
                <w:color w:val="auto"/>
              </w:rPr>
            </w:pPr>
            <w:r>
              <w:rPr>
                <w:rFonts w:ascii="Arial" w:cs="Arial" w:eastAsia="Arial" w:hAnsi="Arial"/>
                <w:sz w:val="14"/>
                <w:szCs w:val="14"/>
                <w:color w:val="auto"/>
              </w:rPr>
              <w:t>5,325</w:t>
            </w:r>
          </w:p>
        </w:tc>
        <w:tc>
          <w:tcPr>
            <w:tcW w:w="1660" w:type="dxa"/>
            <w:vAlign w:val="bottom"/>
            <w:shd w:val="clear" w:color="auto" w:fill="F1F2F2"/>
          </w:tcPr>
          <w:p>
            <w:pPr>
              <w:jc w:val="right"/>
              <w:ind w:right="148"/>
              <w:spacing w:after="0"/>
              <w:rPr>
                <w:sz w:val="20"/>
                <w:szCs w:val="20"/>
                <w:color w:val="auto"/>
              </w:rPr>
            </w:pPr>
            <w:r>
              <w:rPr>
                <w:rFonts w:ascii="Arial" w:cs="Arial" w:eastAsia="Arial" w:hAnsi="Arial"/>
                <w:sz w:val="14"/>
                <w:szCs w:val="14"/>
                <w:color w:val="auto"/>
              </w:rPr>
              <w:t>223,012</w:t>
            </w:r>
          </w:p>
        </w:tc>
      </w:tr>
      <w:tr>
        <w:trPr>
          <w:trHeight w:val="222"/>
        </w:trPr>
        <w:tc>
          <w:tcPr>
            <w:tcW w:w="4000" w:type="dxa"/>
            <w:vAlign w:val="bottom"/>
          </w:tcPr>
          <w:p>
            <w:pPr>
              <w:ind w:left="100"/>
              <w:spacing w:after="0"/>
              <w:rPr>
                <w:sz w:val="20"/>
                <w:szCs w:val="20"/>
                <w:color w:val="auto"/>
              </w:rPr>
            </w:pPr>
            <w:r>
              <w:rPr>
                <w:rFonts w:ascii="Arial" w:cs="Arial" w:eastAsia="Arial" w:hAnsi="Arial"/>
                <w:sz w:val="14"/>
                <w:szCs w:val="14"/>
                <w:b w:val="1"/>
                <w:bCs w:val="1"/>
                <w:color w:val="auto"/>
              </w:rPr>
              <w:t>Yongsoo Kim</w:t>
            </w:r>
          </w:p>
        </w:tc>
        <w:tc>
          <w:tcPr>
            <w:tcW w:w="3520" w:type="dxa"/>
            <w:vAlign w:val="bottom"/>
          </w:tcPr>
          <w:p>
            <w:pPr>
              <w:jc w:val="right"/>
              <w:ind w:right="208"/>
              <w:spacing w:after="0"/>
              <w:rPr>
                <w:sz w:val="20"/>
                <w:szCs w:val="20"/>
                <w:color w:val="auto"/>
              </w:rPr>
            </w:pPr>
            <w:r>
              <w:rPr>
                <w:rFonts w:ascii="Arial" w:cs="Arial" w:eastAsia="Arial" w:hAnsi="Arial"/>
                <w:sz w:val="14"/>
                <w:szCs w:val="14"/>
                <w:color w:val="auto"/>
              </w:rPr>
              <w:t>142,857</w:t>
            </w:r>
          </w:p>
        </w:tc>
        <w:tc>
          <w:tcPr>
            <w:tcW w:w="2060" w:type="dxa"/>
            <w:vAlign w:val="bottom"/>
          </w:tcPr>
          <w:p>
            <w:pPr>
              <w:jc w:val="right"/>
              <w:ind w:right="368"/>
              <w:spacing w:after="0"/>
              <w:rPr>
                <w:sz w:val="20"/>
                <w:szCs w:val="20"/>
                <w:color w:val="auto"/>
              </w:rPr>
            </w:pPr>
            <w:r>
              <w:rPr>
                <w:rFonts w:ascii="Arial" w:cs="Arial" w:eastAsia="Arial" w:hAnsi="Arial"/>
                <w:sz w:val="14"/>
                <w:szCs w:val="14"/>
                <w:color w:val="auto"/>
              </w:rPr>
              <w:t>66,217</w:t>
            </w:r>
          </w:p>
        </w:tc>
        <w:tc>
          <w:tcPr>
            <w:tcW w:w="1660" w:type="dxa"/>
            <w:vAlign w:val="bottom"/>
          </w:tcPr>
          <w:p>
            <w:pPr>
              <w:jc w:val="right"/>
              <w:ind w:right="148"/>
              <w:spacing w:after="0"/>
              <w:rPr>
                <w:sz w:val="20"/>
                <w:szCs w:val="20"/>
                <w:color w:val="auto"/>
              </w:rPr>
            </w:pPr>
            <w:r>
              <w:rPr>
                <w:rFonts w:ascii="Arial" w:cs="Arial" w:eastAsia="Arial" w:hAnsi="Arial"/>
                <w:sz w:val="14"/>
                <w:szCs w:val="14"/>
                <w:color w:val="auto"/>
              </w:rPr>
              <w:t>209,074</w:t>
            </w:r>
          </w:p>
        </w:tc>
      </w:tr>
      <w:tr>
        <w:trPr>
          <w:trHeight w:val="231"/>
        </w:trPr>
        <w:tc>
          <w:tcPr>
            <w:tcW w:w="4000" w:type="dxa"/>
            <w:vAlign w:val="bottom"/>
            <w:tcBorders>
              <w:bottom w:val="single" w:sz="8" w:color="auto"/>
            </w:tcBorders>
            <w:shd w:val="clear" w:color="auto" w:fill="F1F2F2"/>
          </w:tcPr>
          <w:p>
            <w:pPr>
              <w:ind w:left="100"/>
              <w:spacing w:after="0"/>
              <w:rPr>
                <w:sz w:val="20"/>
                <w:szCs w:val="20"/>
                <w:color w:val="auto"/>
              </w:rPr>
            </w:pPr>
            <w:r>
              <w:rPr>
                <w:rFonts w:ascii="Arial" w:cs="Arial" w:eastAsia="Arial" w:hAnsi="Arial"/>
                <w:sz w:val="14"/>
                <w:szCs w:val="14"/>
                <w:b w:val="1"/>
                <w:bCs w:val="1"/>
                <w:color w:val="auto"/>
              </w:rPr>
              <w:t>Hyeeun Son</w:t>
            </w:r>
          </w:p>
        </w:tc>
        <w:tc>
          <w:tcPr>
            <w:tcW w:w="3520" w:type="dxa"/>
            <w:vAlign w:val="bottom"/>
            <w:tcBorders>
              <w:bottom w:val="single" w:sz="8" w:color="auto"/>
            </w:tcBorders>
            <w:shd w:val="clear" w:color="auto" w:fill="F1F2F2"/>
          </w:tcPr>
          <w:p>
            <w:pPr>
              <w:jc w:val="right"/>
              <w:ind w:right="208"/>
              <w:spacing w:after="0"/>
              <w:rPr>
                <w:sz w:val="20"/>
                <w:szCs w:val="20"/>
                <w:color w:val="auto"/>
              </w:rPr>
            </w:pPr>
            <w:r>
              <w:rPr>
                <w:rFonts w:ascii="Arial" w:cs="Arial" w:eastAsia="Arial" w:hAnsi="Arial"/>
                <w:sz w:val="14"/>
                <w:szCs w:val="14"/>
                <w:color w:val="auto"/>
              </w:rPr>
              <w:t>142,857</w:t>
            </w:r>
          </w:p>
        </w:tc>
        <w:tc>
          <w:tcPr>
            <w:tcW w:w="2060" w:type="dxa"/>
            <w:vAlign w:val="bottom"/>
            <w:tcBorders>
              <w:bottom w:val="single" w:sz="8" w:color="auto"/>
            </w:tcBorders>
            <w:shd w:val="clear" w:color="auto" w:fill="F1F2F2"/>
          </w:tcPr>
          <w:p>
            <w:pPr>
              <w:jc w:val="right"/>
              <w:ind w:right="368"/>
              <w:spacing w:after="0"/>
              <w:rPr>
                <w:sz w:val="20"/>
                <w:szCs w:val="20"/>
                <w:color w:val="auto"/>
              </w:rPr>
            </w:pPr>
            <w:r>
              <w:rPr>
                <w:rFonts w:ascii="Arial" w:cs="Arial" w:eastAsia="Arial" w:hAnsi="Arial"/>
                <w:sz w:val="14"/>
                <w:szCs w:val="14"/>
                <w:color w:val="auto"/>
              </w:rPr>
              <w:t>7,885</w:t>
            </w:r>
          </w:p>
        </w:tc>
        <w:tc>
          <w:tcPr>
            <w:tcW w:w="1660" w:type="dxa"/>
            <w:vAlign w:val="bottom"/>
            <w:tcBorders>
              <w:bottom w:val="single" w:sz="8" w:color="auto"/>
            </w:tcBorders>
            <w:shd w:val="clear" w:color="auto" w:fill="F1F2F2"/>
          </w:tcPr>
          <w:p>
            <w:pPr>
              <w:jc w:val="right"/>
              <w:ind w:right="148"/>
              <w:spacing w:after="0"/>
              <w:rPr>
                <w:sz w:val="20"/>
                <w:szCs w:val="20"/>
                <w:color w:val="auto"/>
              </w:rPr>
            </w:pPr>
            <w:r>
              <w:rPr>
                <w:rFonts w:ascii="Arial" w:cs="Arial" w:eastAsia="Arial" w:hAnsi="Arial"/>
                <w:sz w:val="14"/>
                <w:szCs w:val="14"/>
                <w:color w:val="auto"/>
              </w:rPr>
              <w:t>150,742</w:t>
            </w:r>
          </w:p>
        </w:tc>
      </w:tr>
    </w:tbl>
    <w:p>
      <w:pPr>
        <w:spacing w:after="0" w:line="126" w:lineRule="exact"/>
        <w:rPr>
          <w:sz w:val="20"/>
          <w:szCs w:val="20"/>
          <w:color w:val="auto"/>
        </w:rPr>
      </w:pPr>
    </w:p>
    <w:p>
      <w:pPr>
        <w:ind w:left="340" w:right="20" w:hanging="332"/>
        <w:spacing w:after="0" w:line="272" w:lineRule="auto"/>
        <w:tabs>
          <w:tab w:leader="none" w:pos="338" w:val="left"/>
        </w:tabs>
        <w:numPr>
          <w:ilvl w:val="0"/>
          <w:numId w:val="15"/>
        </w:numPr>
        <w:rPr>
          <w:rFonts w:ascii="Arial" w:cs="Arial" w:eastAsia="Arial" w:hAnsi="Arial"/>
          <w:sz w:val="14"/>
          <w:szCs w:val="14"/>
          <w:color w:val="auto"/>
        </w:rPr>
      </w:pPr>
      <w:r>
        <w:rPr>
          <w:rFonts w:ascii="Arial" w:cs="Arial" w:eastAsia="Arial" w:hAnsi="Arial"/>
          <w:sz w:val="14"/>
          <w:szCs w:val="14"/>
          <w:color w:val="auto"/>
        </w:rPr>
        <w:t>Amounts in this column for Junkoo Kim include an annualized base salary of $480,000 in 2024 payable by the Company, and an annualized base salary of 150,000,000 KRW payable by NAVER WEBTOON. Amounts in this column for Chankyu Park include an annualized base salary of 320,000,000 KRW in 2024 payable by the Company. Amounts in this column for Yongsoo Kim include an annualized base salary of 210,000,000 KRW in 2024 payable by the Company. Amounts in this column for Hyeeun Son include an annualized base salary of 210,000,000 KRW in 2024 payable by the Company. Amounts in this column for each NEO were converted to U.S. dollars (USD) from Korean Won (KRW) based on the USD/KRW exchange rate of 1,470.00 on December 31, 2024.</w:t>
      </w:r>
    </w:p>
    <w:p>
      <w:pPr>
        <w:spacing w:after="0" w:line="5" w:lineRule="exact"/>
        <w:rPr>
          <w:rFonts w:ascii="Arial" w:cs="Arial" w:eastAsia="Arial" w:hAnsi="Arial"/>
          <w:sz w:val="14"/>
          <w:szCs w:val="14"/>
          <w:color w:val="auto"/>
        </w:rPr>
      </w:pPr>
    </w:p>
    <w:p>
      <w:pPr>
        <w:ind w:left="340" w:right="20" w:hanging="332"/>
        <w:spacing w:after="0" w:line="266" w:lineRule="auto"/>
        <w:tabs>
          <w:tab w:leader="none" w:pos="338" w:val="left"/>
        </w:tabs>
        <w:numPr>
          <w:ilvl w:val="0"/>
          <w:numId w:val="15"/>
        </w:numPr>
        <w:rPr>
          <w:rFonts w:ascii="Arial" w:cs="Arial" w:eastAsia="Arial" w:hAnsi="Arial"/>
          <w:sz w:val="14"/>
          <w:szCs w:val="14"/>
          <w:color w:val="auto"/>
        </w:rPr>
      </w:pPr>
      <w:r>
        <w:rPr>
          <w:rFonts w:ascii="Arial" w:cs="Arial" w:eastAsia="Arial" w:hAnsi="Arial"/>
          <w:sz w:val="14"/>
          <w:szCs w:val="14"/>
          <w:color w:val="auto"/>
        </w:rPr>
        <w:t>Amounts in this column for Junkoo Kim include an annualized base salary of $480,000 in 2025 payable by the Company, and an annualized base salary of 150,000,000 KRW payable by NAVER WEBTOON. Amounts in this column for Chankyu Park include an annualized base salary of 320,000,000 KRW in 2025 payable by the Company. Amounts in this column for Yongsoo Kim include an annualized base salary of 300,000,000 KRW in 2025 payable by the Company. Amounts in this column for Hyeeun Son include an annualized base salary of 216,300,000 KRW in 2025 payable by the Company. Amounts in this column for each NEO were converted to U.S. dollars (USD) from Korean Won (KRW) based on the USD/KRW exchange rate of 1,434.90 on December 31, 2025. For such executives, year-over-year changes in the U.S. dollar amounts reflect adjustments to the underlying base salary (for Yongsoo Kim and Hyeeun Son only) as well as fluctuations in foreign exchange rates.</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Annual Cash Bonuses</w:t>
      </w:r>
    </w:p>
    <w:p>
      <w:pPr>
        <w:spacing w:after="0" w:line="154" w:lineRule="exact"/>
        <w:rPr>
          <w:sz w:val="20"/>
          <w:szCs w:val="20"/>
          <w:color w:val="auto"/>
        </w:rPr>
      </w:pPr>
    </w:p>
    <w:p>
      <w:pPr>
        <w:ind w:right="320"/>
        <w:spacing w:after="0" w:line="339" w:lineRule="auto"/>
        <w:rPr>
          <w:sz w:val="20"/>
          <w:szCs w:val="20"/>
          <w:color w:val="auto"/>
        </w:rPr>
      </w:pPr>
      <w:r>
        <w:rPr>
          <w:rFonts w:ascii="Arial" w:cs="Arial" w:eastAsia="Arial" w:hAnsi="Arial"/>
          <w:sz w:val="16"/>
          <w:szCs w:val="16"/>
          <w:color w:val="auto"/>
        </w:rPr>
        <w:t>On an annual basis, our NEOs are eligible to receive performance-based cash bonuses, which encourage the NEOs to focus on short-term performance goals that serve as the basis for long-term performance and stockholder value creation and are intended to reward achievement of those goals.</w:t>
      </w:r>
    </w:p>
    <w:p>
      <w:pPr>
        <w:spacing w:after="0" w:line="88" w:lineRule="exact"/>
        <w:rPr>
          <w:sz w:val="20"/>
          <w:szCs w:val="20"/>
          <w:color w:val="auto"/>
        </w:rPr>
      </w:pPr>
    </w:p>
    <w:p>
      <w:pPr>
        <w:ind w:right="400"/>
        <w:spacing w:after="0" w:line="339" w:lineRule="auto"/>
        <w:rPr>
          <w:sz w:val="20"/>
          <w:szCs w:val="20"/>
          <w:color w:val="auto"/>
        </w:rPr>
      </w:pPr>
      <w:r>
        <w:rPr>
          <w:rFonts w:ascii="Arial" w:cs="Arial" w:eastAsia="Arial" w:hAnsi="Arial"/>
          <w:sz w:val="16"/>
          <w:szCs w:val="16"/>
          <w:color w:val="auto"/>
        </w:rPr>
        <w:t>Each year, the Compensation Committee establishes annual bonus targets for each NEO expressed as a percentage of their base salary. The following table shows the bonus targets for fiscal year 2025.</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20" w:type="dxa"/>
            <w:vAlign w:val="bottom"/>
          </w:tcPr>
          <w:p>
            <w:pPr>
              <w:spacing w:after="0"/>
              <w:rPr>
                <w:sz w:val="15"/>
                <w:szCs w:val="15"/>
                <w:color w:val="auto"/>
              </w:rPr>
            </w:pPr>
          </w:p>
        </w:tc>
        <w:tc>
          <w:tcPr>
            <w:tcW w:w="5520" w:type="dxa"/>
            <w:vAlign w:val="bottom"/>
          </w:tcPr>
          <w:p>
            <w:pPr>
              <w:jc w:val="right"/>
              <w:ind w:right="92"/>
              <w:spacing w:after="0"/>
              <w:rPr>
                <w:sz w:val="20"/>
                <w:szCs w:val="20"/>
                <w:color w:val="auto"/>
              </w:rPr>
            </w:pPr>
            <w:r>
              <w:rPr>
                <w:rFonts w:ascii="Arial" w:cs="Arial" w:eastAsia="Arial" w:hAnsi="Arial"/>
                <w:sz w:val="14"/>
                <w:szCs w:val="14"/>
                <w:b w:val="1"/>
                <w:bCs w:val="1"/>
                <w:color w:val="auto"/>
              </w:rPr>
              <w:t>Annual Target Bonus</w:t>
            </w:r>
          </w:p>
        </w:tc>
      </w:tr>
      <w:tr>
        <w:trPr>
          <w:trHeight w:val="309"/>
        </w:trPr>
        <w:tc>
          <w:tcPr>
            <w:tcW w:w="5720" w:type="dxa"/>
            <w:vAlign w:val="bottom"/>
          </w:tcPr>
          <w:p>
            <w:pPr>
              <w:ind w:left="100"/>
              <w:spacing w:after="0"/>
              <w:rPr>
                <w:sz w:val="20"/>
                <w:szCs w:val="20"/>
                <w:color w:val="auto"/>
              </w:rPr>
            </w:pPr>
            <w:r>
              <w:rPr>
                <w:rFonts w:ascii="Arial" w:cs="Arial" w:eastAsia="Arial" w:hAnsi="Arial"/>
                <w:sz w:val="14"/>
                <w:szCs w:val="14"/>
                <w:b w:val="1"/>
                <w:bCs w:val="1"/>
                <w:color w:val="auto"/>
              </w:rPr>
              <w:t>Named Executive Officer</w:t>
            </w:r>
          </w:p>
        </w:tc>
        <w:tc>
          <w:tcPr>
            <w:tcW w:w="5520" w:type="dxa"/>
            <w:vAlign w:val="bottom"/>
          </w:tcPr>
          <w:p>
            <w:pPr>
              <w:jc w:val="right"/>
              <w:ind w:right="92"/>
              <w:spacing w:after="0" w:line="309"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9"/>
                <w:szCs w:val="9"/>
                <w:b w:val="1"/>
                <w:bCs w:val="1"/>
                <w:color w:val="auto"/>
              </w:rPr>
              <w:t>(1)</w:t>
            </w:r>
          </w:p>
        </w:tc>
      </w:tr>
      <w:tr>
        <w:trPr>
          <w:trHeight w:val="230"/>
        </w:trPr>
        <w:tc>
          <w:tcPr>
            <w:tcW w:w="5720" w:type="dxa"/>
            <w:vAlign w:val="bottom"/>
            <w:shd w:val="clear" w:color="auto" w:fill="F1F2F2"/>
          </w:tcPr>
          <w:p>
            <w:pPr>
              <w:ind w:left="100"/>
              <w:spacing w:after="0"/>
              <w:rPr>
                <w:sz w:val="20"/>
                <w:szCs w:val="20"/>
                <w:color w:val="auto"/>
              </w:rPr>
            </w:pPr>
            <w:r>
              <w:rPr>
                <w:rFonts w:ascii="Arial" w:cs="Arial" w:eastAsia="Arial" w:hAnsi="Arial"/>
                <w:sz w:val="14"/>
                <w:szCs w:val="14"/>
                <w:b w:val="1"/>
                <w:bCs w:val="1"/>
                <w:color w:val="auto"/>
              </w:rPr>
              <w:t>Junkoo Kim</w:t>
            </w:r>
            <w:r>
              <w:rPr>
                <w:rFonts w:ascii="Arial" w:cs="Arial" w:eastAsia="Arial" w:hAnsi="Arial"/>
                <w:sz w:val="18"/>
                <w:szCs w:val="18"/>
                <w:b w:val="1"/>
                <w:bCs w:val="1"/>
                <w:color w:val="auto"/>
                <w:vertAlign w:val="superscript"/>
              </w:rPr>
              <w:t>(2)</w:t>
            </w:r>
          </w:p>
        </w:tc>
        <w:tc>
          <w:tcPr>
            <w:tcW w:w="5520" w:type="dxa"/>
            <w:vAlign w:val="bottom"/>
            <w:shd w:val="clear" w:color="auto" w:fill="F1F2F2"/>
          </w:tcPr>
          <w:p>
            <w:pPr>
              <w:jc w:val="right"/>
              <w:ind w:right="152"/>
              <w:spacing w:after="0"/>
              <w:rPr>
                <w:sz w:val="20"/>
                <w:szCs w:val="20"/>
                <w:color w:val="auto"/>
              </w:rPr>
            </w:pPr>
            <w:r>
              <w:rPr>
                <w:rFonts w:ascii="Arial" w:cs="Arial" w:eastAsia="Arial" w:hAnsi="Arial"/>
                <w:sz w:val="14"/>
                <w:szCs w:val="14"/>
                <w:color w:val="auto"/>
              </w:rPr>
              <w:t>570,000</w:t>
            </w:r>
          </w:p>
        </w:tc>
      </w:tr>
      <w:tr>
        <w:trPr>
          <w:trHeight w:val="229"/>
        </w:trPr>
        <w:tc>
          <w:tcPr>
            <w:tcW w:w="5720" w:type="dxa"/>
            <w:vAlign w:val="bottom"/>
          </w:tcPr>
          <w:p>
            <w:pPr>
              <w:ind w:left="100"/>
              <w:spacing w:after="0"/>
              <w:rPr>
                <w:sz w:val="20"/>
                <w:szCs w:val="20"/>
                <w:color w:val="auto"/>
              </w:rPr>
            </w:pPr>
            <w:r>
              <w:rPr>
                <w:rFonts w:ascii="Arial" w:cs="Arial" w:eastAsia="Arial" w:hAnsi="Arial"/>
                <w:sz w:val="14"/>
                <w:szCs w:val="14"/>
                <w:b w:val="1"/>
                <w:bCs w:val="1"/>
                <w:color w:val="auto"/>
              </w:rPr>
              <w:t>David J. Lee</w:t>
            </w:r>
            <w:r>
              <w:rPr>
                <w:rFonts w:ascii="Arial" w:cs="Arial" w:eastAsia="Arial" w:hAnsi="Arial"/>
                <w:sz w:val="18"/>
                <w:szCs w:val="18"/>
                <w:b w:val="1"/>
                <w:bCs w:val="1"/>
                <w:color w:val="auto"/>
                <w:vertAlign w:val="superscript"/>
              </w:rPr>
              <w:t>(3)</w:t>
            </w:r>
          </w:p>
        </w:tc>
        <w:tc>
          <w:tcPr>
            <w:tcW w:w="5520" w:type="dxa"/>
            <w:vAlign w:val="bottom"/>
          </w:tcPr>
          <w:p>
            <w:pPr>
              <w:jc w:val="right"/>
              <w:ind w:right="152"/>
              <w:spacing w:after="0"/>
              <w:rPr>
                <w:sz w:val="20"/>
                <w:szCs w:val="20"/>
                <w:color w:val="auto"/>
              </w:rPr>
            </w:pPr>
            <w:r>
              <w:rPr>
                <w:rFonts w:ascii="Arial" w:cs="Arial" w:eastAsia="Arial" w:hAnsi="Arial"/>
                <w:sz w:val="14"/>
                <w:szCs w:val="14"/>
                <w:color w:val="auto"/>
              </w:rPr>
              <w:t>500,000</w:t>
            </w:r>
          </w:p>
        </w:tc>
      </w:tr>
      <w:tr>
        <w:trPr>
          <w:trHeight w:val="230"/>
        </w:trPr>
        <w:tc>
          <w:tcPr>
            <w:tcW w:w="5720" w:type="dxa"/>
            <w:vAlign w:val="bottom"/>
            <w:shd w:val="clear" w:color="auto" w:fill="F1F2F2"/>
          </w:tcPr>
          <w:p>
            <w:pPr>
              <w:ind w:left="100"/>
              <w:spacing w:after="0"/>
              <w:rPr>
                <w:sz w:val="20"/>
                <w:szCs w:val="20"/>
                <w:color w:val="auto"/>
              </w:rPr>
            </w:pPr>
            <w:r>
              <w:rPr>
                <w:rFonts w:ascii="Arial" w:cs="Arial" w:eastAsia="Arial" w:hAnsi="Arial"/>
                <w:sz w:val="14"/>
                <w:szCs w:val="14"/>
                <w:b w:val="1"/>
                <w:bCs w:val="1"/>
                <w:color w:val="auto"/>
              </w:rPr>
              <w:t>Chankyu Park</w:t>
            </w:r>
          </w:p>
        </w:tc>
        <w:tc>
          <w:tcPr>
            <w:tcW w:w="5520" w:type="dxa"/>
            <w:vAlign w:val="bottom"/>
            <w:shd w:val="clear" w:color="auto" w:fill="F1F2F2"/>
          </w:tcPr>
          <w:p>
            <w:pPr>
              <w:jc w:val="right"/>
              <w:ind w:right="152"/>
              <w:spacing w:after="0"/>
              <w:rPr>
                <w:sz w:val="20"/>
                <w:szCs w:val="20"/>
                <w:color w:val="auto"/>
              </w:rPr>
            </w:pPr>
            <w:r>
              <w:rPr>
                <w:rFonts w:ascii="Arial" w:cs="Arial" w:eastAsia="Arial" w:hAnsi="Arial"/>
                <w:sz w:val="14"/>
                <w:szCs w:val="14"/>
                <w:color w:val="auto"/>
              </w:rPr>
              <w:t>133,807</w:t>
            </w:r>
          </w:p>
        </w:tc>
      </w:tr>
      <w:tr>
        <w:trPr>
          <w:trHeight w:val="222"/>
        </w:trPr>
        <w:tc>
          <w:tcPr>
            <w:tcW w:w="5720" w:type="dxa"/>
            <w:vAlign w:val="bottom"/>
          </w:tcPr>
          <w:p>
            <w:pPr>
              <w:ind w:left="100"/>
              <w:spacing w:after="0"/>
              <w:rPr>
                <w:sz w:val="20"/>
                <w:szCs w:val="20"/>
                <w:color w:val="auto"/>
              </w:rPr>
            </w:pPr>
            <w:r>
              <w:rPr>
                <w:rFonts w:ascii="Arial" w:cs="Arial" w:eastAsia="Arial" w:hAnsi="Arial"/>
                <w:sz w:val="14"/>
                <w:szCs w:val="14"/>
                <w:b w:val="1"/>
                <w:bCs w:val="1"/>
                <w:color w:val="auto"/>
              </w:rPr>
              <w:t>Yongsoo Kim</w:t>
            </w:r>
          </w:p>
        </w:tc>
        <w:tc>
          <w:tcPr>
            <w:tcW w:w="5520" w:type="dxa"/>
            <w:vAlign w:val="bottom"/>
          </w:tcPr>
          <w:p>
            <w:pPr>
              <w:jc w:val="right"/>
              <w:ind w:right="152"/>
              <w:spacing w:after="0"/>
              <w:rPr>
                <w:sz w:val="20"/>
                <w:szCs w:val="20"/>
                <w:color w:val="auto"/>
              </w:rPr>
            </w:pPr>
            <w:r>
              <w:rPr>
                <w:rFonts w:ascii="Arial" w:cs="Arial" w:eastAsia="Arial" w:hAnsi="Arial"/>
                <w:sz w:val="14"/>
                <w:szCs w:val="14"/>
                <w:color w:val="auto"/>
              </w:rPr>
              <w:t>131,967</w:t>
            </w:r>
          </w:p>
        </w:tc>
      </w:tr>
      <w:tr>
        <w:trPr>
          <w:trHeight w:val="231"/>
        </w:trPr>
        <w:tc>
          <w:tcPr>
            <w:tcW w:w="5720" w:type="dxa"/>
            <w:vAlign w:val="bottom"/>
            <w:tcBorders>
              <w:bottom w:val="single" w:sz="8" w:color="auto"/>
            </w:tcBorders>
            <w:shd w:val="clear" w:color="auto" w:fill="F1F2F2"/>
          </w:tcPr>
          <w:p>
            <w:pPr>
              <w:ind w:left="100"/>
              <w:spacing w:after="0"/>
              <w:rPr>
                <w:sz w:val="20"/>
                <w:szCs w:val="20"/>
                <w:color w:val="auto"/>
              </w:rPr>
            </w:pPr>
            <w:r>
              <w:rPr>
                <w:rFonts w:ascii="Arial" w:cs="Arial" w:eastAsia="Arial" w:hAnsi="Arial"/>
                <w:sz w:val="14"/>
                <w:szCs w:val="14"/>
                <w:b w:val="1"/>
                <w:bCs w:val="1"/>
                <w:color w:val="auto"/>
              </w:rPr>
              <w:t>Hyeeun Son</w:t>
            </w:r>
          </w:p>
        </w:tc>
        <w:tc>
          <w:tcPr>
            <w:tcW w:w="5520" w:type="dxa"/>
            <w:vAlign w:val="bottom"/>
            <w:tcBorders>
              <w:bottom w:val="single" w:sz="8" w:color="auto"/>
            </w:tcBorders>
            <w:shd w:val="clear" w:color="auto" w:fill="F1F2F2"/>
          </w:tcPr>
          <w:p>
            <w:pPr>
              <w:jc w:val="right"/>
              <w:ind w:right="152"/>
              <w:spacing w:after="0"/>
              <w:rPr>
                <w:sz w:val="20"/>
                <w:szCs w:val="20"/>
                <w:color w:val="auto"/>
              </w:rPr>
            </w:pPr>
            <w:r>
              <w:rPr>
                <w:rFonts w:ascii="Arial" w:cs="Arial" w:eastAsia="Arial" w:hAnsi="Arial"/>
                <w:sz w:val="14"/>
                <w:szCs w:val="14"/>
                <w:color w:val="auto"/>
              </w:rPr>
              <w:t>86,208</w:t>
            </w:r>
          </w:p>
        </w:tc>
      </w:tr>
    </w:tbl>
    <w:p>
      <w:pPr>
        <w:spacing w:after="0" w:line="139" w:lineRule="exact"/>
        <w:rPr>
          <w:sz w:val="20"/>
          <w:szCs w:val="20"/>
          <w:color w:val="auto"/>
        </w:rPr>
      </w:pPr>
    </w:p>
    <w:p>
      <w:pPr>
        <w:ind w:left="340" w:right="420" w:hanging="332"/>
        <w:spacing w:after="0" w:line="285" w:lineRule="auto"/>
        <w:tabs>
          <w:tab w:leader="none" w:pos="338" w:val="left"/>
        </w:tabs>
        <w:numPr>
          <w:ilvl w:val="0"/>
          <w:numId w:val="16"/>
        </w:numPr>
        <w:rPr>
          <w:rFonts w:ascii="Arial" w:cs="Arial" w:eastAsia="Arial" w:hAnsi="Arial"/>
          <w:sz w:val="14"/>
          <w:szCs w:val="14"/>
          <w:color w:val="auto"/>
        </w:rPr>
      </w:pPr>
      <w:r>
        <w:rPr>
          <w:rFonts w:ascii="Arial" w:cs="Arial" w:eastAsia="Arial" w:hAnsi="Arial"/>
          <w:sz w:val="14"/>
          <w:szCs w:val="14"/>
          <w:color w:val="auto"/>
        </w:rPr>
        <w:t>Amounts in this column for Chankyu Park and Hyeeun Son were converted to U.S. dollars (USD) from Korean Won (KRW) based on the USD/KRW exchange rate of 1,434.90 on December 31, 2025.</w:t>
      </w:r>
    </w:p>
    <w:p>
      <w:pPr>
        <w:spacing w:after="0" w:line="9" w:lineRule="exact"/>
        <w:rPr>
          <w:rFonts w:ascii="Arial" w:cs="Arial" w:eastAsia="Arial" w:hAnsi="Arial"/>
          <w:sz w:val="14"/>
          <w:szCs w:val="14"/>
          <w:color w:val="auto"/>
        </w:rPr>
      </w:pPr>
    </w:p>
    <w:p>
      <w:pPr>
        <w:ind w:left="340" w:right="200" w:hanging="332"/>
        <w:spacing w:after="0" w:line="301" w:lineRule="auto"/>
        <w:tabs>
          <w:tab w:leader="none" w:pos="338" w:val="left"/>
        </w:tabs>
        <w:numPr>
          <w:ilvl w:val="0"/>
          <w:numId w:val="16"/>
        </w:numPr>
        <w:rPr>
          <w:rFonts w:ascii="Arial" w:cs="Arial" w:eastAsia="Arial" w:hAnsi="Arial"/>
          <w:sz w:val="14"/>
          <w:szCs w:val="14"/>
          <w:color w:val="auto"/>
        </w:rPr>
      </w:pPr>
      <w:r>
        <w:rPr>
          <w:rFonts w:ascii="Arial" w:cs="Arial" w:eastAsia="Arial" w:hAnsi="Arial"/>
          <w:sz w:val="14"/>
          <w:szCs w:val="14"/>
          <w:color w:val="auto"/>
        </w:rPr>
        <w:t>Pursuant to his employment agreement, Junkoo Kim is eligible to earn an annual incentive bonus with a target value of $570,000 and a threshold and maximum value of 50% and 150% of target, respectively.</w:t>
      </w:r>
    </w:p>
    <w:p>
      <w:pPr>
        <w:spacing w:after="0" w:line="1" w:lineRule="exact"/>
        <w:rPr>
          <w:rFonts w:ascii="Arial" w:cs="Arial" w:eastAsia="Arial" w:hAnsi="Arial"/>
          <w:sz w:val="14"/>
          <w:szCs w:val="14"/>
          <w:color w:val="auto"/>
        </w:rPr>
      </w:pPr>
    </w:p>
    <w:p>
      <w:pPr>
        <w:ind w:left="340" w:right="180" w:hanging="332"/>
        <w:spacing w:after="0" w:line="305" w:lineRule="auto"/>
        <w:tabs>
          <w:tab w:leader="none" w:pos="338" w:val="left"/>
        </w:tabs>
        <w:numPr>
          <w:ilvl w:val="0"/>
          <w:numId w:val="16"/>
        </w:numPr>
        <w:rPr>
          <w:rFonts w:ascii="Arial" w:cs="Arial" w:eastAsia="Arial" w:hAnsi="Arial"/>
          <w:sz w:val="14"/>
          <w:szCs w:val="14"/>
          <w:color w:val="auto"/>
        </w:rPr>
      </w:pPr>
      <w:r>
        <w:rPr>
          <w:rFonts w:ascii="Arial" w:cs="Arial" w:eastAsia="Arial" w:hAnsi="Arial"/>
          <w:sz w:val="14"/>
          <w:szCs w:val="14"/>
          <w:color w:val="auto"/>
        </w:rPr>
        <w:t>Pursuant to his employment agreement, David J. Lee is eligible to earn a target annual bonus equal to 100% of his base salary for the applicable year, with a guaranteed minimum annual bonus equal to 50% of his base salary for the applicable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363220</wp:posOffset>
            </wp:positionV>
            <wp:extent cx="282575" cy="2743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82575"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280" w:type="dxa"/>
            <w:vAlign w:val="bottom"/>
          </w:tcPr>
          <w:p>
            <w:pPr>
              <w:ind w:left="20"/>
              <w:spacing w:after="0"/>
              <w:rPr>
                <w:sz w:val="20"/>
                <w:szCs w:val="20"/>
                <w:color w:val="auto"/>
              </w:rPr>
            </w:pPr>
            <w:r>
              <w:rPr>
                <w:rFonts w:ascii="Arial" w:cs="Arial" w:eastAsia="Arial" w:hAnsi="Arial"/>
                <w:sz w:val="14"/>
                <w:szCs w:val="14"/>
                <w:b w:val="1"/>
                <w:bCs w:val="1"/>
                <w:color w:val="auto"/>
              </w:rPr>
              <w:t>2026 Proxy Statement</w:t>
            </w:r>
          </w:p>
        </w:tc>
        <w:tc>
          <w:tcPr>
            <w:tcW w:w="4960" w:type="dxa"/>
            <w:vAlign w:val="bottom"/>
          </w:tcPr>
          <w:p>
            <w:pPr>
              <w:jc w:val="right"/>
              <w:spacing w:after="0"/>
              <w:rPr>
                <w:sz w:val="20"/>
                <w:szCs w:val="20"/>
                <w:color w:val="auto"/>
              </w:rPr>
            </w:pPr>
            <w:r>
              <w:rPr>
                <w:rFonts w:ascii="Arial" w:cs="Arial" w:eastAsia="Arial" w:hAnsi="Arial"/>
                <w:sz w:val="14"/>
                <w:szCs w:val="14"/>
                <w:b w:val="1"/>
                <w:bCs w:val="1"/>
                <w:color w:val="auto"/>
              </w:rPr>
              <w:t>25</w:t>
            </w:r>
          </w:p>
        </w:tc>
      </w:tr>
      <w:tr>
        <w:trPr>
          <w:trHeight w:val="360"/>
        </w:trPr>
        <w:tc>
          <w:tcPr>
            <w:tcW w:w="6280" w:type="dxa"/>
            <w:vAlign w:val="bottom"/>
            <w:tcBorders>
              <w:bottom w:val="single" w:sz="8" w:color="9A9A9A"/>
            </w:tcBorders>
          </w:tcPr>
          <w:p>
            <w:pPr>
              <w:spacing w:after="0"/>
              <w:rPr>
                <w:sz w:val="24"/>
                <w:szCs w:val="24"/>
                <w:color w:val="auto"/>
              </w:rPr>
            </w:pPr>
          </w:p>
        </w:tc>
        <w:tc>
          <w:tcPr>
            <w:tcW w:w="4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9" w:name="page30"/>
    <w:bookmarkEnd w:id="29"/>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right="220"/>
        <w:spacing w:after="0" w:line="319" w:lineRule="auto"/>
        <w:rPr>
          <w:sz w:val="20"/>
          <w:szCs w:val="20"/>
          <w:color w:val="auto"/>
        </w:rPr>
      </w:pPr>
      <w:r>
        <w:rPr>
          <w:rFonts w:ascii="Arial" w:cs="Arial" w:eastAsia="Arial" w:hAnsi="Arial"/>
          <w:sz w:val="16"/>
          <w:szCs w:val="16"/>
          <w:color w:val="auto"/>
        </w:rPr>
        <w:t>Consistent with prior years, the annual bonus payout for fiscal year 2025 (the “2025 Annual Bonus”) was determined based on satisfaction of corporate performance goals (the “Corporate Component”) achievement of pre-determined individual performance objectives (the “Individual Component”), each, as determined in the Compensation Committee’s discretion.</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Corporate Component</w:t>
      </w:r>
    </w:p>
    <w:p>
      <w:pPr>
        <w:spacing w:after="0" w:line="154"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For the 2025 Annual Bonus, the corporate performance metrics included “Application Monthly Active Users”, year-over-year revenue growth on a constant currency basis, and Adjusted EBITDA Margin. We define “Application Monthly Active Users” or “app MAU” as users who visited one of our mobile applications at least once in the applicable calendar month, averaged over each month in the given period. Revenue is determined in accordance with U.S. generally accepted accounting principles (“GAAP”). Adjusted EBITDA Margin is used by the Company to measure performance. See Appendix A of this Proxy Statement for definitions of revenue on a constant currency basis, revenue growth on a constant currency basis, Adjusted EBITDA and Adjusted EBITDA Margin, and reconciliations of revenue on a constant currency basis, revenue growth on a constant currency basis, Adjusted EBITDA, and Adjusted EBITDA Margin to the directly comparable GAAP measure. Targets and actual achievement of each metric are set forth below under “—2025 Annual Bonus – Actual Results and Payouts.”</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Individual Component</w:t>
      </w:r>
    </w:p>
    <w:p>
      <w:pPr>
        <w:spacing w:after="0" w:line="154" w:lineRule="exact"/>
        <w:rPr>
          <w:sz w:val="20"/>
          <w:szCs w:val="20"/>
          <w:color w:val="auto"/>
        </w:rPr>
      </w:pPr>
    </w:p>
    <w:p>
      <w:pPr>
        <w:ind w:right="920"/>
        <w:spacing w:after="0" w:line="339" w:lineRule="auto"/>
        <w:rPr>
          <w:sz w:val="20"/>
          <w:szCs w:val="20"/>
          <w:color w:val="auto"/>
        </w:rPr>
      </w:pPr>
      <w:r>
        <w:rPr>
          <w:rFonts w:ascii="Arial" w:cs="Arial" w:eastAsia="Arial" w:hAnsi="Arial"/>
          <w:sz w:val="16"/>
          <w:szCs w:val="16"/>
          <w:color w:val="auto"/>
        </w:rPr>
        <w:t>Junkoo Kim’s individual performance is measured based on overall corporate performance, using the same measures used under the Corporate Component, as described above. The individual performance objectives for each other NEO included the following:</w:t>
      </w:r>
    </w:p>
    <w:p>
      <w:pPr>
        <w:spacing w:after="0" w:line="101" w:lineRule="exact"/>
        <w:rPr>
          <w:sz w:val="20"/>
          <w:szCs w:val="20"/>
          <w:color w:val="auto"/>
        </w:rPr>
      </w:pPr>
    </w:p>
    <w:p>
      <w:pPr>
        <w:ind w:left="660" w:right="80" w:hanging="328"/>
        <w:spacing w:after="0" w:line="310" w:lineRule="auto"/>
        <w:tabs>
          <w:tab w:leader="none" w:pos="649" w:val="left"/>
        </w:tabs>
        <w:numPr>
          <w:ilvl w:val="0"/>
          <w:numId w:val="17"/>
        </w:numPr>
        <w:rPr>
          <w:rFonts w:ascii="Arial" w:cs="Arial" w:eastAsia="Arial" w:hAnsi="Arial"/>
          <w:sz w:val="16"/>
          <w:szCs w:val="16"/>
          <w:color w:val="auto"/>
        </w:rPr>
      </w:pPr>
      <w:r>
        <w:rPr>
          <w:rFonts w:ascii="Arial" w:cs="Arial" w:eastAsia="Arial" w:hAnsi="Arial"/>
          <w:sz w:val="16"/>
          <w:szCs w:val="16"/>
          <w:color w:val="auto"/>
        </w:rPr>
        <w:t>David J. Lee: (i) establishment of SOX Controllership and remediate material weaknesses, (ii) improvement of financial closing speed, accuracy, and reporting processes, (iii) enhancement of cross-functional communication and internal problem-solving, (iv) strengthening of corporate industry presence and complete IPO readiness, and (v) upgrade finance and legal functions to meet GAAP standards.</w:t>
      </w:r>
    </w:p>
    <w:p>
      <w:pPr>
        <w:spacing w:after="0" w:line="16" w:lineRule="exact"/>
        <w:rPr>
          <w:rFonts w:ascii="Arial" w:cs="Arial" w:eastAsia="Arial" w:hAnsi="Arial"/>
          <w:sz w:val="16"/>
          <w:szCs w:val="16"/>
          <w:color w:val="auto"/>
        </w:rPr>
      </w:pPr>
    </w:p>
    <w:p>
      <w:pPr>
        <w:ind w:left="660" w:right="240" w:hanging="328"/>
        <w:spacing w:after="0" w:line="316" w:lineRule="auto"/>
        <w:tabs>
          <w:tab w:leader="none" w:pos="649" w:val="left"/>
        </w:tabs>
        <w:numPr>
          <w:ilvl w:val="0"/>
          <w:numId w:val="17"/>
        </w:numPr>
        <w:rPr>
          <w:rFonts w:ascii="Arial" w:cs="Arial" w:eastAsia="Arial" w:hAnsi="Arial"/>
          <w:sz w:val="16"/>
          <w:szCs w:val="16"/>
          <w:color w:val="auto"/>
        </w:rPr>
      </w:pPr>
      <w:r>
        <w:rPr>
          <w:rFonts w:ascii="Arial" w:cs="Arial" w:eastAsia="Arial" w:hAnsi="Arial"/>
          <w:sz w:val="16"/>
          <w:szCs w:val="16"/>
          <w:color w:val="auto"/>
        </w:rPr>
        <w:t>Chankyu Park: (i) execution of key projects to improve operational efficiency of for LINE Digital Frontier, (ii) strengthening technical expertise and global tech organizations, (iii) enhancing efficiency via platformization and common module standardization, (iv) improving development organization efficiency and minimize workforce needs via shared modules.</w:t>
      </w:r>
    </w:p>
    <w:p>
      <w:pPr>
        <w:spacing w:after="0" w:line="2" w:lineRule="exact"/>
        <w:rPr>
          <w:rFonts w:ascii="Arial" w:cs="Arial" w:eastAsia="Arial" w:hAnsi="Arial"/>
          <w:sz w:val="16"/>
          <w:szCs w:val="16"/>
          <w:color w:val="auto"/>
        </w:rPr>
      </w:pPr>
    </w:p>
    <w:p>
      <w:pPr>
        <w:ind w:left="660" w:right="20" w:hanging="328"/>
        <w:spacing w:after="0" w:line="319" w:lineRule="auto"/>
        <w:tabs>
          <w:tab w:leader="none" w:pos="649" w:val="left"/>
        </w:tabs>
        <w:numPr>
          <w:ilvl w:val="0"/>
          <w:numId w:val="17"/>
        </w:numPr>
        <w:rPr>
          <w:rFonts w:ascii="Arial" w:cs="Arial" w:eastAsia="Arial" w:hAnsi="Arial"/>
          <w:sz w:val="16"/>
          <w:szCs w:val="16"/>
          <w:color w:val="auto"/>
        </w:rPr>
      </w:pPr>
      <w:r>
        <w:rPr>
          <w:rFonts w:ascii="Arial" w:cs="Arial" w:eastAsia="Arial" w:hAnsi="Arial"/>
          <w:sz w:val="16"/>
          <w:szCs w:val="16"/>
          <w:color w:val="auto"/>
        </w:rPr>
        <w:t>Yongsoo Kim: (i) achievement of quantitative KPIs for Global WEBTOON business, (ii) securing mid-term growth momentum through product innovation of Global WEBTOON app, (iii) enhancing alignment across teams within Global WEBTOON and reinforcing local strategies, (iv) closing 3 or more investment or strategic partnership deals, and (v) continuous global integration and restructuring in key areas as needed.</w:t>
      </w:r>
    </w:p>
    <w:p>
      <w:pPr>
        <w:spacing w:after="0" w:line="8" w:lineRule="exact"/>
        <w:rPr>
          <w:rFonts w:ascii="Arial" w:cs="Arial" w:eastAsia="Arial" w:hAnsi="Arial"/>
          <w:sz w:val="16"/>
          <w:szCs w:val="16"/>
          <w:color w:val="auto"/>
        </w:rPr>
      </w:pPr>
    </w:p>
    <w:p>
      <w:pPr>
        <w:ind w:left="660" w:right="60" w:hanging="328"/>
        <w:spacing w:after="0" w:line="306" w:lineRule="auto"/>
        <w:tabs>
          <w:tab w:leader="none" w:pos="649" w:val="left"/>
        </w:tabs>
        <w:numPr>
          <w:ilvl w:val="0"/>
          <w:numId w:val="17"/>
        </w:numPr>
        <w:rPr>
          <w:rFonts w:ascii="Arial" w:cs="Arial" w:eastAsia="Arial" w:hAnsi="Arial"/>
          <w:sz w:val="16"/>
          <w:szCs w:val="16"/>
          <w:color w:val="auto"/>
        </w:rPr>
      </w:pPr>
      <w:r>
        <w:rPr>
          <w:rFonts w:ascii="Arial" w:cs="Arial" w:eastAsia="Arial" w:hAnsi="Arial"/>
          <w:sz w:val="16"/>
          <w:szCs w:val="16"/>
          <w:color w:val="auto"/>
        </w:rPr>
        <w:t>Hyeeun Son: (i) improvement of design quality and provide faster turnaround times to support country-specific KPIs, (ii) expansion of global product design systems across all major platforms, (iii) strengthening of IP branding expertise and visual creative capabilities, (iv) enhancement of growth design efficiency using AI technology, and (v) establishment of advertising product guidelines and securing of design expertise for the advertising business.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2025 Annual Bonus – Actual Results and Payouts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The 2025 Annual Bonuses were paid following a year-end review by the Compensation Committee of the applicable performance criteria.</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Compensation Committee determined that the Company’s achievement of the Corporate Component goals for fiscal year 2025 were as follows:</w:t>
      </w:r>
    </w:p>
    <w:p>
      <w:pPr>
        <w:spacing w:after="0" w:line="200" w:lineRule="exact"/>
        <w:rPr>
          <w:sz w:val="20"/>
          <w:szCs w:val="20"/>
          <w:color w:val="auto"/>
        </w:rPr>
      </w:pPr>
    </w:p>
    <w:p>
      <w:pPr>
        <w:spacing w:after="0" w:line="329" w:lineRule="exact"/>
        <w:rPr>
          <w:sz w:val="20"/>
          <w:szCs w:val="20"/>
          <w:color w:val="auto"/>
        </w:rPr>
      </w:pPr>
    </w:p>
    <w:p>
      <w:pPr>
        <w:ind w:left="20"/>
        <w:spacing w:after="0"/>
        <w:tabs>
          <w:tab w:leader="none" w:pos="5360" w:val="left"/>
        </w:tabs>
        <w:rPr>
          <w:sz w:val="20"/>
          <w:szCs w:val="20"/>
          <w:color w:val="auto"/>
        </w:rPr>
      </w:pPr>
      <w:r>
        <w:rPr>
          <w:rFonts w:ascii="Arial" w:cs="Arial" w:eastAsia="Arial" w:hAnsi="Arial"/>
          <w:sz w:val="14"/>
          <w:szCs w:val="14"/>
          <w:b w:val="1"/>
          <w:bCs w:val="1"/>
          <w:color w:val="auto"/>
        </w:rPr>
        <w:t>26</w:t>
      </w:r>
      <w:r>
        <w:rPr>
          <w:sz w:val="20"/>
          <w:szCs w:val="20"/>
          <w:color w:val="auto"/>
        </w:rPr>
        <w:tab/>
      </w:r>
      <w:r>
        <w:rPr>
          <w:sz w:val="1"/>
          <w:szCs w:val="1"/>
          <w:color w:val="auto"/>
        </w:rPr>
        <w:drawing>
          <wp:inline distT="0" distB="0" distL="0" distR="0">
            <wp:extent cx="282575" cy="274320"/>
            <wp:effectExtent l="0" t="0" r="0"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82575" cy="274320"/>
                    </a:xfrm>
                    <a:prstGeom prst="rect">
                      <a:avLst/>
                    </a:prstGeom>
                    <a:noFill/>
                    <a:ln>
                      <a:noFill/>
                    </a:ln>
                  </pic:spPr>
                </pic:pic>
              </a:graphicData>
            </a:graphic>
          </wp:inline>
        </w:drawing>
      </w:r>
      <w:r>
        <w:rPr>
          <w:rFonts w:ascii="Arial" w:cs="Arial" w:eastAsia="Arial" w:hAnsi="Arial"/>
          <w:sz w:val="14"/>
          <w:szCs w:val="14"/>
          <w:b w:val="1"/>
          <w:bCs w:val="1"/>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820" w:type="dxa"/>
            <w:vAlign w:val="bottom"/>
          </w:tcPr>
          <w:p>
            <w:pPr>
              <w:ind w:left="20"/>
              <w:spacing w:after="0"/>
              <w:rPr>
                <w:sz w:val="20"/>
                <w:szCs w:val="20"/>
                <w:color w:val="auto"/>
              </w:rPr>
            </w:pPr>
            <w:r>
              <w:rPr>
                <w:rFonts w:ascii="Arial" w:cs="Arial" w:eastAsia="Arial" w:hAnsi="Arial"/>
                <w:sz w:val="14"/>
                <w:szCs w:val="14"/>
                <w:b w:val="1"/>
                <w:bCs w:val="1"/>
                <w:color w:val="auto"/>
              </w:rPr>
              <w:t>Metric</w:t>
            </w:r>
          </w:p>
        </w:tc>
        <w:tc>
          <w:tcPr>
            <w:tcW w:w="1540" w:type="dxa"/>
            <w:vAlign w:val="bottom"/>
          </w:tcPr>
          <w:p>
            <w:pPr>
              <w:ind w:left="480"/>
              <w:spacing w:after="0"/>
              <w:rPr>
                <w:sz w:val="20"/>
                <w:szCs w:val="20"/>
                <w:color w:val="auto"/>
              </w:rPr>
            </w:pPr>
            <w:r>
              <w:rPr>
                <w:rFonts w:ascii="Arial" w:cs="Arial" w:eastAsia="Arial" w:hAnsi="Arial"/>
                <w:sz w:val="14"/>
                <w:szCs w:val="14"/>
                <w:b w:val="1"/>
                <w:bCs w:val="1"/>
                <w:color w:val="auto"/>
              </w:rPr>
              <w:t>Target</w:t>
            </w:r>
          </w:p>
        </w:tc>
        <w:tc>
          <w:tcPr>
            <w:tcW w:w="2840" w:type="dxa"/>
            <w:vAlign w:val="bottom"/>
          </w:tcPr>
          <w:p>
            <w:pPr>
              <w:ind w:left="620"/>
              <w:spacing w:after="0"/>
              <w:rPr>
                <w:sz w:val="20"/>
                <w:szCs w:val="20"/>
                <w:color w:val="auto"/>
              </w:rPr>
            </w:pPr>
            <w:r>
              <w:rPr>
                <w:rFonts w:ascii="Arial" w:cs="Arial" w:eastAsia="Arial" w:hAnsi="Arial"/>
                <w:sz w:val="14"/>
                <w:szCs w:val="14"/>
                <w:b w:val="1"/>
                <w:bCs w:val="1"/>
                <w:color w:val="auto"/>
              </w:rPr>
              <w:t>Fiscal Year 2025 Results</w:t>
            </w:r>
          </w:p>
        </w:tc>
        <w:tc>
          <w:tcPr>
            <w:tcW w:w="2040" w:type="dxa"/>
            <w:vAlign w:val="bottom"/>
          </w:tcPr>
          <w:p>
            <w:pPr>
              <w:jc w:val="center"/>
              <w:ind w:right="108"/>
              <w:spacing w:after="0"/>
              <w:rPr>
                <w:sz w:val="20"/>
                <w:szCs w:val="20"/>
                <w:color w:val="auto"/>
              </w:rPr>
            </w:pPr>
            <w:r>
              <w:rPr>
                <w:rFonts w:ascii="Arial" w:cs="Arial" w:eastAsia="Arial" w:hAnsi="Arial"/>
                <w:sz w:val="14"/>
                <w:szCs w:val="14"/>
                <w:b w:val="1"/>
                <w:bCs w:val="1"/>
                <w:color w:val="auto"/>
              </w:rPr>
              <w:t>% of Target</w:t>
            </w:r>
          </w:p>
        </w:tc>
      </w:tr>
      <w:tr>
        <w:trPr>
          <w:trHeight w:val="110"/>
        </w:trPr>
        <w:tc>
          <w:tcPr>
            <w:tcW w:w="48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840" w:type="dxa"/>
            <w:vAlign w:val="bottom"/>
          </w:tcPr>
          <w:p>
            <w:pPr>
              <w:spacing w:after="0"/>
              <w:rPr>
                <w:sz w:val="9"/>
                <w:szCs w:val="9"/>
                <w:color w:val="auto"/>
              </w:rPr>
            </w:pPr>
          </w:p>
        </w:tc>
        <w:tc>
          <w:tcPr>
            <w:tcW w:w="2040" w:type="dxa"/>
            <w:vAlign w:val="bottom"/>
          </w:tcPr>
          <w:p>
            <w:pPr>
              <w:spacing w:after="0"/>
              <w:rPr>
                <w:sz w:val="9"/>
                <w:szCs w:val="9"/>
                <w:color w:val="auto"/>
              </w:rPr>
            </w:pPr>
          </w:p>
        </w:tc>
      </w:tr>
      <w:tr>
        <w:trPr>
          <w:trHeight w:val="230"/>
        </w:trPr>
        <w:tc>
          <w:tcPr>
            <w:tcW w:w="4820" w:type="dxa"/>
            <w:vAlign w:val="bottom"/>
            <w:shd w:val="clear" w:color="auto" w:fill="F1F2F2"/>
          </w:tcPr>
          <w:p>
            <w:pPr>
              <w:ind w:left="100"/>
              <w:spacing w:after="0"/>
              <w:rPr>
                <w:sz w:val="20"/>
                <w:szCs w:val="20"/>
                <w:color w:val="auto"/>
              </w:rPr>
            </w:pPr>
            <w:r>
              <w:rPr>
                <w:rFonts w:ascii="Arial" w:cs="Arial" w:eastAsia="Arial" w:hAnsi="Arial"/>
                <w:sz w:val="14"/>
                <w:szCs w:val="14"/>
                <w:b w:val="1"/>
                <w:bCs w:val="1"/>
                <w:color w:val="auto"/>
              </w:rPr>
              <w:t xml:space="preserve">Application Monthly Active Users </w:t>
            </w:r>
            <w:r>
              <w:rPr>
                <w:rFonts w:ascii="Arial" w:cs="Arial" w:eastAsia="Arial" w:hAnsi="Arial"/>
                <w:sz w:val="14"/>
                <w:szCs w:val="14"/>
                <w:b w:val="1"/>
                <w:bCs w:val="1"/>
                <w:i w:val="1"/>
                <w:iCs w:val="1"/>
                <w:color w:val="auto"/>
              </w:rPr>
              <w:t>(in millions)</w:t>
            </w:r>
          </w:p>
        </w:tc>
        <w:tc>
          <w:tcPr>
            <w:tcW w:w="1540" w:type="dxa"/>
            <w:vAlign w:val="bottom"/>
            <w:shd w:val="clear" w:color="auto" w:fill="F1F2F2"/>
          </w:tcPr>
          <w:p>
            <w:pPr>
              <w:jc w:val="center"/>
              <w:ind w:right="108"/>
              <w:spacing w:after="0"/>
              <w:rPr>
                <w:sz w:val="20"/>
                <w:szCs w:val="20"/>
                <w:color w:val="auto"/>
              </w:rPr>
            </w:pPr>
            <w:r>
              <w:rPr>
                <w:rFonts w:ascii="Arial" w:cs="Arial" w:eastAsia="Arial" w:hAnsi="Arial"/>
                <w:sz w:val="14"/>
                <w:szCs w:val="14"/>
                <w:color w:val="auto"/>
              </w:rPr>
              <w:t>88</w:t>
            </w:r>
          </w:p>
        </w:tc>
        <w:tc>
          <w:tcPr>
            <w:tcW w:w="2840" w:type="dxa"/>
            <w:vAlign w:val="bottom"/>
            <w:shd w:val="clear" w:color="auto" w:fill="F1F2F2"/>
          </w:tcPr>
          <w:p>
            <w:pPr>
              <w:jc w:val="center"/>
              <w:ind w:left="8"/>
              <w:spacing w:after="0"/>
              <w:rPr>
                <w:sz w:val="20"/>
                <w:szCs w:val="20"/>
                <w:color w:val="auto"/>
              </w:rPr>
            </w:pPr>
            <w:r>
              <w:rPr>
                <w:rFonts w:ascii="Arial" w:cs="Arial" w:eastAsia="Arial" w:hAnsi="Arial"/>
                <w:sz w:val="14"/>
                <w:szCs w:val="14"/>
                <w:color w:val="auto"/>
              </w:rPr>
              <w:t>80</w:t>
            </w:r>
          </w:p>
        </w:tc>
        <w:tc>
          <w:tcPr>
            <w:tcW w:w="2040" w:type="dxa"/>
            <w:vAlign w:val="bottom"/>
            <w:shd w:val="clear" w:color="auto" w:fill="F1F2F2"/>
          </w:tcPr>
          <w:p>
            <w:pPr>
              <w:jc w:val="center"/>
              <w:ind w:right="108"/>
              <w:spacing w:after="0"/>
              <w:rPr>
                <w:sz w:val="20"/>
                <w:szCs w:val="20"/>
                <w:color w:val="auto"/>
              </w:rPr>
            </w:pPr>
            <w:r>
              <w:rPr>
                <w:rFonts w:ascii="Arial" w:cs="Arial" w:eastAsia="Arial" w:hAnsi="Arial"/>
                <w:sz w:val="14"/>
                <w:szCs w:val="14"/>
                <w:color w:val="auto"/>
              </w:rPr>
              <w:t>90%</w:t>
            </w:r>
          </w:p>
        </w:tc>
      </w:tr>
      <w:tr>
        <w:trPr>
          <w:trHeight w:val="229"/>
        </w:trPr>
        <w:tc>
          <w:tcPr>
            <w:tcW w:w="4820" w:type="dxa"/>
            <w:vAlign w:val="bottom"/>
          </w:tcPr>
          <w:p>
            <w:pPr>
              <w:ind w:left="100"/>
              <w:spacing w:after="0"/>
              <w:rPr>
                <w:sz w:val="20"/>
                <w:szCs w:val="20"/>
                <w:color w:val="auto"/>
              </w:rPr>
            </w:pPr>
            <w:r>
              <w:rPr>
                <w:rFonts w:ascii="Arial" w:cs="Arial" w:eastAsia="Arial" w:hAnsi="Arial"/>
                <w:sz w:val="14"/>
                <w:szCs w:val="14"/>
                <w:b w:val="1"/>
                <w:bCs w:val="1"/>
                <w:color w:val="auto"/>
              </w:rPr>
              <w:t>Year-over-year revenue growth on a constant currency basis</w:t>
            </w:r>
            <w:r>
              <w:rPr>
                <w:rFonts w:ascii="Arial" w:cs="Arial" w:eastAsia="Arial" w:hAnsi="Arial"/>
                <w:sz w:val="18"/>
                <w:szCs w:val="18"/>
                <w:b w:val="1"/>
                <w:bCs w:val="1"/>
                <w:color w:val="auto"/>
                <w:vertAlign w:val="superscript"/>
              </w:rPr>
              <w:t>(1)</w:t>
            </w:r>
          </w:p>
        </w:tc>
        <w:tc>
          <w:tcPr>
            <w:tcW w:w="1540" w:type="dxa"/>
            <w:vAlign w:val="bottom"/>
          </w:tcPr>
          <w:p>
            <w:pPr>
              <w:jc w:val="center"/>
              <w:ind w:right="88"/>
              <w:spacing w:after="0"/>
              <w:rPr>
                <w:sz w:val="20"/>
                <w:szCs w:val="20"/>
                <w:color w:val="auto"/>
              </w:rPr>
            </w:pPr>
            <w:r>
              <w:rPr>
                <w:rFonts w:ascii="Arial" w:cs="Arial" w:eastAsia="Arial" w:hAnsi="Arial"/>
                <w:sz w:val="14"/>
                <w:szCs w:val="14"/>
                <w:color w:val="auto"/>
              </w:rPr>
              <w:t>15%</w:t>
            </w:r>
          </w:p>
        </w:tc>
        <w:tc>
          <w:tcPr>
            <w:tcW w:w="2840" w:type="dxa"/>
            <w:vAlign w:val="bottom"/>
          </w:tcPr>
          <w:p>
            <w:pPr>
              <w:jc w:val="center"/>
              <w:ind w:left="8"/>
              <w:spacing w:after="0"/>
              <w:rPr>
                <w:sz w:val="20"/>
                <w:szCs w:val="20"/>
                <w:color w:val="auto"/>
              </w:rPr>
            </w:pPr>
            <w:r>
              <w:rPr>
                <w:rFonts w:ascii="Arial" w:cs="Arial" w:eastAsia="Arial" w:hAnsi="Arial"/>
                <w:sz w:val="14"/>
                <w:szCs w:val="14"/>
                <w:color w:val="auto"/>
              </w:rPr>
              <w:t>3.9%</w:t>
            </w:r>
          </w:p>
        </w:tc>
        <w:tc>
          <w:tcPr>
            <w:tcW w:w="2040" w:type="dxa"/>
            <w:vAlign w:val="bottom"/>
          </w:tcPr>
          <w:p>
            <w:pPr>
              <w:jc w:val="center"/>
              <w:ind w:right="108"/>
              <w:spacing w:after="0"/>
              <w:rPr>
                <w:sz w:val="20"/>
                <w:szCs w:val="20"/>
                <w:color w:val="auto"/>
              </w:rPr>
            </w:pPr>
            <w:r>
              <w:rPr>
                <w:rFonts w:ascii="Arial" w:cs="Arial" w:eastAsia="Arial" w:hAnsi="Arial"/>
                <w:sz w:val="14"/>
                <w:szCs w:val="14"/>
                <w:color w:val="auto"/>
              </w:rPr>
              <w:t>26%</w:t>
            </w:r>
          </w:p>
        </w:tc>
      </w:tr>
      <w:tr>
        <w:trPr>
          <w:trHeight w:val="229"/>
        </w:trPr>
        <w:tc>
          <w:tcPr>
            <w:tcW w:w="4820" w:type="dxa"/>
            <w:vAlign w:val="bottom"/>
            <w:tcBorders>
              <w:bottom w:val="single" w:sz="8" w:color="auto"/>
            </w:tcBorders>
            <w:shd w:val="clear" w:color="auto" w:fill="F1F2F2"/>
          </w:tcPr>
          <w:p>
            <w:pPr>
              <w:ind w:left="100"/>
              <w:spacing w:after="0"/>
              <w:rPr>
                <w:sz w:val="20"/>
                <w:szCs w:val="20"/>
                <w:color w:val="auto"/>
              </w:rPr>
            </w:pPr>
            <w:r>
              <w:rPr>
                <w:rFonts w:ascii="Arial" w:cs="Arial" w:eastAsia="Arial" w:hAnsi="Arial"/>
                <w:sz w:val="14"/>
                <w:szCs w:val="14"/>
                <w:b w:val="1"/>
                <w:bCs w:val="1"/>
                <w:color w:val="auto"/>
              </w:rPr>
              <w:t>Adjusted EBITDA Margin</w:t>
            </w:r>
            <w:r>
              <w:rPr>
                <w:rFonts w:ascii="Arial" w:cs="Arial" w:eastAsia="Arial" w:hAnsi="Arial"/>
                <w:sz w:val="18"/>
                <w:szCs w:val="18"/>
                <w:b w:val="1"/>
                <w:bCs w:val="1"/>
                <w:color w:val="auto"/>
                <w:vertAlign w:val="superscript"/>
              </w:rPr>
              <w:t>(2)</w:t>
            </w:r>
          </w:p>
        </w:tc>
        <w:tc>
          <w:tcPr>
            <w:tcW w:w="1540" w:type="dxa"/>
            <w:vAlign w:val="bottom"/>
            <w:tcBorders>
              <w:bottom w:val="single" w:sz="8" w:color="auto"/>
            </w:tcBorders>
            <w:shd w:val="clear" w:color="auto" w:fill="F1F2F2"/>
          </w:tcPr>
          <w:p>
            <w:pPr>
              <w:jc w:val="center"/>
              <w:ind w:right="88"/>
              <w:spacing w:after="0"/>
              <w:rPr>
                <w:sz w:val="20"/>
                <w:szCs w:val="20"/>
                <w:color w:val="auto"/>
              </w:rPr>
            </w:pPr>
            <w:r>
              <w:rPr>
                <w:rFonts w:ascii="Arial" w:cs="Arial" w:eastAsia="Arial" w:hAnsi="Arial"/>
                <w:sz w:val="14"/>
                <w:szCs w:val="14"/>
                <w:color w:val="auto"/>
              </w:rPr>
              <w:t>5%</w:t>
            </w:r>
          </w:p>
        </w:tc>
        <w:tc>
          <w:tcPr>
            <w:tcW w:w="2840" w:type="dxa"/>
            <w:vAlign w:val="bottom"/>
            <w:tcBorders>
              <w:bottom w:val="single" w:sz="8" w:color="auto"/>
            </w:tcBorders>
            <w:shd w:val="clear" w:color="auto" w:fill="F1F2F2"/>
          </w:tcPr>
          <w:p>
            <w:pPr>
              <w:jc w:val="center"/>
              <w:ind w:left="8"/>
              <w:spacing w:after="0"/>
              <w:rPr>
                <w:sz w:val="20"/>
                <w:szCs w:val="20"/>
                <w:color w:val="auto"/>
              </w:rPr>
            </w:pPr>
            <w:r>
              <w:rPr>
                <w:rFonts w:ascii="Arial" w:cs="Arial" w:eastAsia="Arial" w:hAnsi="Arial"/>
                <w:sz w:val="14"/>
                <w:szCs w:val="14"/>
                <w:color w:val="auto"/>
              </w:rPr>
              <w:t>1.3%</w:t>
            </w:r>
          </w:p>
        </w:tc>
        <w:tc>
          <w:tcPr>
            <w:tcW w:w="2040" w:type="dxa"/>
            <w:vAlign w:val="bottom"/>
            <w:tcBorders>
              <w:bottom w:val="single" w:sz="8" w:color="auto"/>
            </w:tcBorders>
            <w:shd w:val="clear" w:color="auto" w:fill="F1F2F2"/>
          </w:tcPr>
          <w:p>
            <w:pPr>
              <w:jc w:val="center"/>
              <w:ind w:right="108"/>
              <w:spacing w:after="0"/>
              <w:rPr>
                <w:sz w:val="20"/>
                <w:szCs w:val="20"/>
                <w:color w:val="auto"/>
              </w:rPr>
            </w:pPr>
            <w:r>
              <w:rPr>
                <w:rFonts w:ascii="Arial" w:cs="Arial" w:eastAsia="Arial" w:hAnsi="Arial"/>
                <w:sz w:val="14"/>
                <w:szCs w:val="14"/>
                <w:color w:val="auto"/>
              </w:rPr>
              <w:t>26%</w:t>
            </w:r>
          </w:p>
        </w:tc>
      </w:tr>
    </w:tbl>
    <w:p>
      <w:pPr>
        <w:spacing w:after="0" w:line="139" w:lineRule="exact"/>
        <w:rPr>
          <w:sz w:val="20"/>
          <w:szCs w:val="20"/>
          <w:color w:val="auto"/>
        </w:rPr>
      </w:pPr>
    </w:p>
    <w:p>
      <w:pPr>
        <w:ind w:left="340" w:right="80" w:hanging="332"/>
        <w:spacing w:after="0" w:line="285" w:lineRule="auto"/>
        <w:tabs>
          <w:tab w:leader="none" w:pos="338" w:val="left"/>
        </w:tabs>
        <w:numPr>
          <w:ilvl w:val="0"/>
          <w:numId w:val="18"/>
        </w:numPr>
        <w:rPr>
          <w:rFonts w:ascii="Arial" w:cs="Arial" w:eastAsia="Arial" w:hAnsi="Arial"/>
          <w:sz w:val="14"/>
          <w:szCs w:val="14"/>
          <w:color w:val="auto"/>
        </w:rPr>
      </w:pPr>
      <w:r>
        <w:rPr>
          <w:rFonts w:ascii="Arial" w:cs="Arial" w:eastAsia="Arial" w:hAnsi="Arial"/>
          <w:sz w:val="14"/>
          <w:szCs w:val="14"/>
          <w:color w:val="auto"/>
        </w:rPr>
        <w:t>Revenue growth on a constant currency basis is a non-GAAP financial measure. See Appendix A of this Proxy Statement for additional information on non-GAAP financial measures.</w:t>
      </w:r>
    </w:p>
    <w:p>
      <w:pPr>
        <w:spacing w:after="0" w:line="63" w:lineRule="exact"/>
        <w:rPr>
          <w:rFonts w:ascii="Arial" w:cs="Arial" w:eastAsia="Arial" w:hAnsi="Arial"/>
          <w:sz w:val="14"/>
          <w:szCs w:val="14"/>
          <w:color w:val="auto"/>
        </w:rPr>
      </w:pPr>
    </w:p>
    <w:p>
      <w:pPr>
        <w:ind w:left="340" w:hanging="332"/>
        <w:spacing w:after="0"/>
        <w:tabs>
          <w:tab w:leader="none" w:pos="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Adjusted EBITDA Margin is a non-GAAP financial measure. See Appendix A of this Proxy Statement for additional information on non-GAAP financial measures.</w:t>
      </w:r>
    </w:p>
    <w:p>
      <w:pPr>
        <w:spacing w:after="0" w:line="185" w:lineRule="exact"/>
        <w:rPr>
          <w:sz w:val="20"/>
          <w:szCs w:val="20"/>
          <w:color w:val="auto"/>
        </w:rPr>
      </w:pPr>
    </w:p>
    <w:p>
      <w:pPr>
        <w:ind w:right="400"/>
        <w:spacing w:after="0" w:line="339" w:lineRule="auto"/>
        <w:rPr>
          <w:sz w:val="20"/>
          <w:szCs w:val="20"/>
          <w:color w:val="auto"/>
        </w:rPr>
      </w:pPr>
      <w:r>
        <w:rPr>
          <w:rFonts w:ascii="Arial" w:cs="Arial" w:eastAsia="Arial" w:hAnsi="Arial"/>
          <w:sz w:val="16"/>
          <w:szCs w:val="16"/>
          <w:color w:val="auto"/>
        </w:rPr>
        <w:t>The Compensation Committee considered these corporate results in the context of market conditions, exchange rate fluctuation and other discretionary factors.</w:t>
      </w:r>
    </w:p>
    <w:p>
      <w:pPr>
        <w:spacing w:after="0" w:line="101" w:lineRule="exact"/>
        <w:rPr>
          <w:sz w:val="20"/>
          <w:szCs w:val="20"/>
          <w:color w:val="auto"/>
        </w:rPr>
      </w:pPr>
    </w:p>
    <w:p>
      <w:pPr>
        <w:ind w:right="40"/>
        <w:spacing w:after="0" w:line="304" w:lineRule="auto"/>
        <w:rPr>
          <w:sz w:val="20"/>
          <w:szCs w:val="20"/>
          <w:color w:val="auto"/>
        </w:rPr>
      </w:pPr>
      <w:r>
        <w:rPr>
          <w:rFonts w:ascii="Arial" w:cs="Arial" w:eastAsia="Arial" w:hAnsi="Arial"/>
          <w:sz w:val="16"/>
          <w:szCs w:val="16"/>
          <w:color w:val="auto"/>
        </w:rPr>
        <w:t>The Compensation Committee then considered satisfaction of the qualitative objectives under the Individual Component for each NEO. Reflecting their accountability for the Company’s 2025 fiscal year corporate performance, the payouts for Junkoo Kim and David J. Lee were set at 50% of their targets, and the payout for Chankyu Park was set at 60% of target. The Compensation Committee made relative upward adjustments to Yongsoo Kim and Hyeeun Son’s payouts compared to other NEOs, to reflect Yongsoo’s expanded roles and both of their critical individual contributions in navigating a challenging fiscal year 2025.</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The actual 2025 Annual Bonus payout for each NEO for fiscal year 2025 is reflected in the table below.</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980" w:type="dxa"/>
            <w:vAlign w:val="bottom"/>
          </w:tcPr>
          <w:p>
            <w:pPr>
              <w:spacing w:after="0"/>
              <w:rPr>
                <w:sz w:val="15"/>
                <w:szCs w:val="15"/>
                <w:color w:val="auto"/>
              </w:rPr>
            </w:pPr>
          </w:p>
        </w:tc>
        <w:tc>
          <w:tcPr>
            <w:tcW w:w="3880" w:type="dxa"/>
            <w:vAlign w:val="bottom"/>
          </w:tcPr>
          <w:p>
            <w:pPr>
              <w:jc w:val="right"/>
              <w:ind w:right="488"/>
              <w:spacing w:after="0"/>
              <w:rPr>
                <w:sz w:val="20"/>
                <w:szCs w:val="20"/>
                <w:color w:val="auto"/>
              </w:rPr>
            </w:pPr>
            <w:r>
              <w:rPr>
                <w:rFonts w:ascii="Arial" w:cs="Arial" w:eastAsia="Arial" w:hAnsi="Arial"/>
                <w:sz w:val="14"/>
                <w:szCs w:val="14"/>
                <w:b w:val="1"/>
                <w:bCs w:val="1"/>
                <w:color w:val="auto"/>
              </w:rPr>
              <w:t>Target Annual</w:t>
            </w:r>
          </w:p>
        </w:tc>
        <w:tc>
          <w:tcPr>
            <w:tcW w:w="1800" w:type="dxa"/>
            <w:vAlign w:val="bottom"/>
          </w:tcPr>
          <w:p>
            <w:pPr>
              <w:ind w:left="800"/>
              <w:spacing w:after="0"/>
              <w:rPr>
                <w:sz w:val="20"/>
                <w:szCs w:val="20"/>
                <w:color w:val="auto"/>
              </w:rPr>
            </w:pPr>
            <w:r>
              <w:rPr>
                <w:rFonts w:ascii="Arial" w:cs="Arial" w:eastAsia="Arial" w:hAnsi="Arial"/>
                <w:sz w:val="14"/>
                <w:szCs w:val="14"/>
                <w:b w:val="1"/>
                <w:bCs w:val="1"/>
                <w:color w:val="auto"/>
              </w:rPr>
              <w:t>Payout</w:t>
            </w:r>
          </w:p>
        </w:tc>
        <w:tc>
          <w:tcPr>
            <w:tcW w:w="1580" w:type="dxa"/>
            <w:vAlign w:val="bottom"/>
          </w:tcPr>
          <w:p>
            <w:pPr>
              <w:jc w:val="right"/>
              <w:ind w:right="88"/>
              <w:spacing w:after="0"/>
              <w:rPr>
                <w:sz w:val="20"/>
                <w:szCs w:val="20"/>
                <w:color w:val="auto"/>
              </w:rPr>
            </w:pPr>
            <w:r>
              <w:rPr>
                <w:rFonts w:ascii="Arial" w:cs="Arial" w:eastAsia="Arial" w:hAnsi="Arial"/>
                <w:sz w:val="14"/>
                <w:szCs w:val="14"/>
                <w:b w:val="1"/>
                <w:bCs w:val="1"/>
                <w:color w:val="auto"/>
              </w:rPr>
              <w:t>Actual Bonus</w:t>
            </w:r>
          </w:p>
        </w:tc>
        <w:tc>
          <w:tcPr>
            <w:tcW w:w="0" w:type="dxa"/>
            <w:vAlign w:val="bottom"/>
          </w:tcPr>
          <w:p>
            <w:pPr>
              <w:spacing w:after="0"/>
              <w:rPr>
                <w:sz w:val="1"/>
                <w:szCs w:val="1"/>
                <w:color w:val="auto"/>
              </w:rPr>
            </w:pPr>
          </w:p>
        </w:tc>
      </w:tr>
      <w:tr>
        <w:trPr>
          <w:trHeight w:val="176"/>
        </w:trPr>
        <w:tc>
          <w:tcPr>
            <w:tcW w:w="398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Named Executive Officer</w:t>
            </w:r>
          </w:p>
        </w:tc>
        <w:tc>
          <w:tcPr>
            <w:tcW w:w="3880" w:type="dxa"/>
            <w:vAlign w:val="bottom"/>
          </w:tcPr>
          <w:p>
            <w:pPr>
              <w:jc w:val="right"/>
              <w:ind w:right="488"/>
              <w:spacing w:after="0"/>
              <w:rPr>
                <w:sz w:val="20"/>
                <w:szCs w:val="20"/>
                <w:color w:val="auto"/>
              </w:rPr>
            </w:pPr>
            <w:r>
              <w:rPr>
                <w:rFonts w:ascii="Arial" w:cs="Arial" w:eastAsia="Arial" w:hAnsi="Arial"/>
                <w:sz w:val="14"/>
                <w:szCs w:val="14"/>
                <w:b w:val="1"/>
                <w:bCs w:val="1"/>
                <w:color w:val="auto"/>
              </w:rPr>
              <w:t>Bonus Amount</w:t>
            </w:r>
            <w:r>
              <w:rPr>
                <w:rFonts w:ascii="Arial" w:cs="Arial" w:eastAsia="Arial" w:hAnsi="Arial"/>
                <w:sz w:val="9"/>
                <w:szCs w:val="9"/>
                <w:b w:val="1"/>
                <w:bCs w:val="1"/>
                <w:color w:val="auto"/>
              </w:rPr>
              <w:t>(1)</w:t>
            </w:r>
          </w:p>
        </w:tc>
        <w:tc>
          <w:tcPr>
            <w:tcW w:w="1800" w:type="dxa"/>
            <w:vAlign w:val="bottom"/>
          </w:tcPr>
          <w:p>
            <w:pPr>
              <w:ind w:left="540"/>
              <w:spacing w:after="0"/>
              <w:rPr>
                <w:sz w:val="20"/>
                <w:szCs w:val="20"/>
                <w:color w:val="auto"/>
              </w:rPr>
            </w:pPr>
            <w:r>
              <w:rPr>
                <w:rFonts w:ascii="Arial" w:cs="Arial" w:eastAsia="Arial" w:hAnsi="Arial"/>
                <w:sz w:val="14"/>
                <w:szCs w:val="14"/>
                <w:b w:val="1"/>
                <w:bCs w:val="1"/>
                <w:color w:val="auto"/>
              </w:rPr>
              <w:t>Percentage</w:t>
            </w:r>
          </w:p>
        </w:tc>
        <w:tc>
          <w:tcPr>
            <w:tcW w:w="1580" w:type="dxa"/>
            <w:vAlign w:val="bottom"/>
          </w:tcPr>
          <w:p>
            <w:pPr>
              <w:jc w:val="right"/>
              <w:ind w:right="88"/>
              <w:spacing w:after="0"/>
              <w:rPr>
                <w:sz w:val="20"/>
                <w:szCs w:val="20"/>
                <w:color w:val="auto"/>
              </w:rPr>
            </w:pPr>
            <w:r>
              <w:rPr>
                <w:rFonts w:ascii="Arial" w:cs="Arial" w:eastAsia="Arial" w:hAnsi="Arial"/>
                <w:sz w:val="14"/>
                <w:szCs w:val="14"/>
                <w:b w:val="1"/>
                <w:bCs w:val="1"/>
                <w:color w:val="auto"/>
              </w:rPr>
              <w:t>Payout</w:t>
            </w:r>
            <w:r>
              <w:rPr>
                <w:rFonts w:ascii="Arial" w:cs="Arial" w:eastAsia="Arial" w:hAnsi="Arial"/>
                <w:sz w:val="9"/>
                <w:szCs w:val="9"/>
                <w:b w:val="1"/>
                <w:bCs w:val="1"/>
                <w:color w:val="auto"/>
              </w:rPr>
              <w:t>(1)</w:t>
            </w:r>
          </w:p>
        </w:tc>
        <w:tc>
          <w:tcPr>
            <w:tcW w:w="0" w:type="dxa"/>
            <w:vAlign w:val="bottom"/>
          </w:tcPr>
          <w:p>
            <w:pPr>
              <w:spacing w:after="0"/>
              <w:rPr>
                <w:sz w:val="1"/>
                <w:szCs w:val="1"/>
                <w:color w:val="auto"/>
              </w:rPr>
            </w:pPr>
          </w:p>
        </w:tc>
      </w:tr>
      <w:tr>
        <w:trPr>
          <w:trHeight w:val="196"/>
        </w:trPr>
        <w:tc>
          <w:tcPr>
            <w:tcW w:w="3980" w:type="dxa"/>
            <w:vAlign w:val="bottom"/>
            <w:vMerge w:val="continue"/>
          </w:tcPr>
          <w:p>
            <w:pPr>
              <w:spacing w:after="0"/>
              <w:rPr>
                <w:sz w:val="17"/>
                <w:szCs w:val="17"/>
                <w:color w:val="auto"/>
              </w:rPr>
            </w:pPr>
          </w:p>
        </w:tc>
        <w:tc>
          <w:tcPr>
            <w:tcW w:w="3880" w:type="dxa"/>
            <w:vAlign w:val="bottom"/>
          </w:tcPr>
          <w:p>
            <w:pPr>
              <w:jc w:val="right"/>
              <w:ind w:right="488"/>
              <w:spacing w:after="0"/>
              <w:rPr>
                <w:sz w:val="20"/>
                <w:szCs w:val="20"/>
                <w:color w:val="auto"/>
              </w:rPr>
            </w:pPr>
            <w:r>
              <w:rPr>
                <w:rFonts w:ascii="Arial" w:cs="Arial" w:eastAsia="Arial" w:hAnsi="Arial"/>
                <w:sz w:val="14"/>
                <w:szCs w:val="14"/>
                <w:b w:val="1"/>
                <w:bCs w:val="1"/>
                <w:color w:val="auto"/>
              </w:rPr>
              <w:t>($)</w:t>
            </w:r>
          </w:p>
        </w:tc>
        <w:tc>
          <w:tcPr>
            <w:tcW w:w="1800" w:type="dxa"/>
            <w:vAlign w:val="bottom"/>
          </w:tcPr>
          <w:p>
            <w:pPr>
              <w:ind w:left="1100"/>
              <w:spacing w:after="0"/>
              <w:rPr>
                <w:sz w:val="20"/>
                <w:szCs w:val="20"/>
                <w:color w:val="auto"/>
              </w:rPr>
            </w:pPr>
            <w:r>
              <w:rPr>
                <w:rFonts w:ascii="Arial" w:cs="Arial" w:eastAsia="Arial" w:hAnsi="Arial"/>
                <w:sz w:val="14"/>
                <w:szCs w:val="14"/>
                <w:b w:val="1"/>
                <w:bCs w:val="1"/>
                <w:color w:val="auto"/>
              </w:rPr>
              <w:t>(%)</w:t>
            </w:r>
          </w:p>
        </w:tc>
        <w:tc>
          <w:tcPr>
            <w:tcW w:w="158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97"/>
        </w:trPr>
        <w:tc>
          <w:tcPr>
            <w:tcW w:w="3980" w:type="dxa"/>
            <w:vAlign w:val="bottom"/>
          </w:tcPr>
          <w:p>
            <w:pPr>
              <w:spacing w:after="0"/>
              <w:rPr>
                <w:sz w:val="8"/>
                <w:szCs w:val="8"/>
                <w:color w:val="auto"/>
              </w:rPr>
            </w:pPr>
          </w:p>
        </w:tc>
        <w:tc>
          <w:tcPr>
            <w:tcW w:w="388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3980" w:type="dxa"/>
            <w:vAlign w:val="bottom"/>
            <w:shd w:val="clear" w:color="auto" w:fill="F1F2F2"/>
          </w:tcPr>
          <w:p>
            <w:pPr>
              <w:ind w:left="100"/>
              <w:spacing w:after="0"/>
              <w:rPr>
                <w:sz w:val="20"/>
                <w:szCs w:val="20"/>
                <w:color w:val="auto"/>
              </w:rPr>
            </w:pPr>
            <w:r>
              <w:rPr>
                <w:rFonts w:ascii="Arial" w:cs="Arial" w:eastAsia="Arial" w:hAnsi="Arial"/>
                <w:sz w:val="14"/>
                <w:szCs w:val="14"/>
                <w:b w:val="1"/>
                <w:bCs w:val="1"/>
                <w:color w:val="auto"/>
              </w:rPr>
              <w:t>Junkoo Kim</w:t>
            </w:r>
          </w:p>
        </w:tc>
        <w:tc>
          <w:tcPr>
            <w:tcW w:w="3880" w:type="dxa"/>
            <w:vAlign w:val="bottom"/>
            <w:shd w:val="clear" w:color="auto" w:fill="F1F2F2"/>
          </w:tcPr>
          <w:p>
            <w:pPr>
              <w:jc w:val="right"/>
              <w:ind w:right="548"/>
              <w:spacing w:after="0"/>
              <w:rPr>
                <w:sz w:val="20"/>
                <w:szCs w:val="20"/>
                <w:color w:val="auto"/>
              </w:rPr>
            </w:pPr>
            <w:r>
              <w:rPr>
                <w:rFonts w:ascii="Arial" w:cs="Arial" w:eastAsia="Arial" w:hAnsi="Arial"/>
                <w:sz w:val="14"/>
                <w:szCs w:val="14"/>
                <w:color w:val="auto"/>
              </w:rPr>
              <w:t>570,000</w:t>
            </w:r>
          </w:p>
        </w:tc>
        <w:tc>
          <w:tcPr>
            <w:tcW w:w="1800" w:type="dxa"/>
            <w:vAlign w:val="bottom"/>
            <w:shd w:val="clear" w:color="auto" w:fill="F1F2F2"/>
          </w:tcPr>
          <w:p>
            <w:pPr>
              <w:ind w:left="1120"/>
              <w:spacing w:after="0"/>
              <w:rPr>
                <w:sz w:val="20"/>
                <w:szCs w:val="20"/>
                <w:color w:val="auto"/>
              </w:rPr>
            </w:pPr>
            <w:r>
              <w:rPr>
                <w:rFonts w:ascii="Arial" w:cs="Arial" w:eastAsia="Arial" w:hAnsi="Arial"/>
                <w:sz w:val="14"/>
                <w:szCs w:val="14"/>
                <w:color w:val="auto"/>
              </w:rPr>
              <w:t>50</w:t>
            </w:r>
          </w:p>
        </w:tc>
        <w:tc>
          <w:tcPr>
            <w:tcW w:w="1580" w:type="dxa"/>
            <w:vAlign w:val="bottom"/>
            <w:shd w:val="clear" w:color="auto" w:fill="F1F2F2"/>
          </w:tcPr>
          <w:p>
            <w:pPr>
              <w:jc w:val="right"/>
              <w:ind w:right="148"/>
              <w:spacing w:after="0"/>
              <w:rPr>
                <w:sz w:val="20"/>
                <w:szCs w:val="20"/>
                <w:color w:val="auto"/>
              </w:rPr>
            </w:pPr>
            <w:r>
              <w:rPr>
                <w:rFonts w:ascii="Arial" w:cs="Arial" w:eastAsia="Arial" w:hAnsi="Arial"/>
                <w:sz w:val="14"/>
                <w:szCs w:val="14"/>
                <w:color w:val="auto"/>
              </w:rPr>
              <w:t>285,000</w:t>
            </w:r>
          </w:p>
        </w:tc>
        <w:tc>
          <w:tcPr>
            <w:tcW w:w="0" w:type="dxa"/>
            <w:vAlign w:val="bottom"/>
          </w:tcPr>
          <w:p>
            <w:pPr>
              <w:spacing w:after="0"/>
              <w:rPr>
                <w:sz w:val="1"/>
                <w:szCs w:val="1"/>
                <w:color w:val="auto"/>
              </w:rPr>
            </w:pPr>
          </w:p>
        </w:tc>
      </w:tr>
      <w:tr>
        <w:trPr>
          <w:trHeight w:val="222"/>
        </w:trPr>
        <w:tc>
          <w:tcPr>
            <w:tcW w:w="3980" w:type="dxa"/>
            <w:vAlign w:val="bottom"/>
          </w:tcPr>
          <w:p>
            <w:pPr>
              <w:ind w:left="100"/>
              <w:spacing w:after="0"/>
              <w:rPr>
                <w:sz w:val="20"/>
                <w:szCs w:val="20"/>
                <w:color w:val="auto"/>
              </w:rPr>
            </w:pPr>
            <w:r>
              <w:rPr>
                <w:rFonts w:ascii="Arial" w:cs="Arial" w:eastAsia="Arial" w:hAnsi="Arial"/>
                <w:sz w:val="14"/>
                <w:szCs w:val="14"/>
                <w:b w:val="1"/>
                <w:bCs w:val="1"/>
                <w:color w:val="auto"/>
              </w:rPr>
              <w:t>David J. Lee</w:t>
            </w:r>
          </w:p>
        </w:tc>
        <w:tc>
          <w:tcPr>
            <w:tcW w:w="3880" w:type="dxa"/>
            <w:vAlign w:val="bottom"/>
          </w:tcPr>
          <w:p>
            <w:pPr>
              <w:jc w:val="right"/>
              <w:ind w:right="548"/>
              <w:spacing w:after="0"/>
              <w:rPr>
                <w:sz w:val="20"/>
                <w:szCs w:val="20"/>
                <w:color w:val="auto"/>
              </w:rPr>
            </w:pPr>
            <w:r>
              <w:rPr>
                <w:rFonts w:ascii="Arial" w:cs="Arial" w:eastAsia="Arial" w:hAnsi="Arial"/>
                <w:sz w:val="14"/>
                <w:szCs w:val="14"/>
                <w:color w:val="auto"/>
              </w:rPr>
              <w:t>500,000</w:t>
            </w:r>
          </w:p>
        </w:tc>
        <w:tc>
          <w:tcPr>
            <w:tcW w:w="1800" w:type="dxa"/>
            <w:vAlign w:val="bottom"/>
          </w:tcPr>
          <w:p>
            <w:pPr>
              <w:ind w:left="1120"/>
              <w:spacing w:after="0"/>
              <w:rPr>
                <w:sz w:val="20"/>
                <w:szCs w:val="20"/>
                <w:color w:val="auto"/>
              </w:rPr>
            </w:pPr>
            <w:r>
              <w:rPr>
                <w:rFonts w:ascii="Arial" w:cs="Arial" w:eastAsia="Arial" w:hAnsi="Arial"/>
                <w:sz w:val="14"/>
                <w:szCs w:val="14"/>
                <w:color w:val="auto"/>
              </w:rPr>
              <w:t>50</w:t>
            </w:r>
          </w:p>
        </w:tc>
        <w:tc>
          <w:tcPr>
            <w:tcW w:w="1580" w:type="dxa"/>
            <w:vAlign w:val="bottom"/>
          </w:tcPr>
          <w:p>
            <w:pPr>
              <w:jc w:val="right"/>
              <w:ind w:right="148"/>
              <w:spacing w:after="0"/>
              <w:rPr>
                <w:sz w:val="20"/>
                <w:szCs w:val="20"/>
                <w:color w:val="auto"/>
              </w:rPr>
            </w:pPr>
            <w:r>
              <w:rPr>
                <w:rFonts w:ascii="Arial" w:cs="Arial" w:eastAsia="Arial" w:hAnsi="Arial"/>
                <w:sz w:val="14"/>
                <w:szCs w:val="14"/>
                <w:color w:val="auto"/>
              </w:rPr>
              <w:t>250,000</w:t>
            </w:r>
          </w:p>
        </w:tc>
        <w:tc>
          <w:tcPr>
            <w:tcW w:w="0" w:type="dxa"/>
            <w:vAlign w:val="bottom"/>
          </w:tcPr>
          <w:p>
            <w:pPr>
              <w:spacing w:after="0"/>
              <w:rPr>
                <w:sz w:val="1"/>
                <w:szCs w:val="1"/>
                <w:color w:val="auto"/>
              </w:rPr>
            </w:pPr>
          </w:p>
        </w:tc>
      </w:tr>
      <w:tr>
        <w:trPr>
          <w:trHeight w:val="237"/>
        </w:trPr>
        <w:tc>
          <w:tcPr>
            <w:tcW w:w="3980" w:type="dxa"/>
            <w:vAlign w:val="bottom"/>
            <w:shd w:val="clear" w:color="auto" w:fill="F1F2F2"/>
          </w:tcPr>
          <w:p>
            <w:pPr>
              <w:ind w:left="100"/>
              <w:spacing w:after="0"/>
              <w:rPr>
                <w:sz w:val="20"/>
                <w:szCs w:val="20"/>
                <w:color w:val="auto"/>
              </w:rPr>
            </w:pPr>
            <w:r>
              <w:rPr>
                <w:rFonts w:ascii="Arial" w:cs="Arial" w:eastAsia="Arial" w:hAnsi="Arial"/>
                <w:sz w:val="14"/>
                <w:szCs w:val="14"/>
                <w:b w:val="1"/>
                <w:bCs w:val="1"/>
                <w:color w:val="auto"/>
              </w:rPr>
              <w:t>Chankyu Park</w:t>
            </w:r>
          </w:p>
        </w:tc>
        <w:tc>
          <w:tcPr>
            <w:tcW w:w="3880" w:type="dxa"/>
            <w:vAlign w:val="bottom"/>
            <w:shd w:val="clear" w:color="auto" w:fill="F1F2F2"/>
          </w:tcPr>
          <w:p>
            <w:pPr>
              <w:jc w:val="right"/>
              <w:ind w:right="548"/>
              <w:spacing w:after="0"/>
              <w:rPr>
                <w:sz w:val="20"/>
                <w:szCs w:val="20"/>
                <w:color w:val="auto"/>
              </w:rPr>
            </w:pPr>
            <w:r>
              <w:rPr>
                <w:rFonts w:ascii="Arial" w:cs="Arial" w:eastAsia="Arial" w:hAnsi="Arial"/>
                <w:sz w:val="14"/>
                <w:szCs w:val="14"/>
                <w:color w:val="auto"/>
              </w:rPr>
              <w:t>133,807</w:t>
            </w:r>
          </w:p>
        </w:tc>
        <w:tc>
          <w:tcPr>
            <w:tcW w:w="1800" w:type="dxa"/>
            <w:vAlign w:val="bottom"/>
            <w:shd w:val="clear" w:color="auto" w:fill="F1F2F2"/>
          </w:tcPr>
          <w:p>
            <w:pPr>
              <w:ind w:left="1120"/>
              <w:spacing w:after="0"/>
              <w:rPr>
                <w:sz w:val="20"/>
                <w:szCs w:val="20"/>
                <w:color w:val="auto"/>
              </w:rPr>
            </w:pPr>
            <w:r>
              <w:rPr>
                <w:rFonts w:ascii="Arial" w:cs="Arial" w:eastAsia="Arial" w:hAnsi="Arial"/>
                <w:sz w:val="14"/>
                <w:szCs w:val="14"/>
                <w:color w:val="auto"/>
              </w:rPr>
              <w:t>60</w:t>
            </w:r>
          </w:p>
        </w:tc>
        <w:tc>
          <w:tcPr>
            <w:tcW w:w="1580" w:type="dxa"/>
            <w:vAlign w:val="bottom"/>
            <w:shd w:val="clear" w:color="auto" w:fill="F1F2F2"/>
          </w:tcPr>
          <w:p>
            <w:pPr>
              <w:jc w:val="right"/>
              <w:ind w:right="148"/>
              <w:spacing w:after="0"/>
              <w:rPr>
                <w:sz w:val="20"/>
                <w:szCs w:val="20"/>
                <w:color w:val="auto"/>
              </w:rPr>
            </w:pPr>
            <w:r>
              <w:rPr>
                <w:rFonts w:ascii="Arial" w:cs="Arial" w:eastAsia="Arial" w:hAnsi="Arial"/>
                <w:sz w:val="14"/>
                <w:szCs w:val="14"/>
                <w:color w:val="auto"/>
              </w:rPr>
              <w:t>80,284</w:t>
            </w:r>
          </w:p>
        </w:tc>
        <w:tc>
          <w:tcPr>
            <w:tcW w:w="0" w:type="dxa"/>
            <w:vAlign w:val="bottom"/>
          </w:tcPr>
          <w:p>
            <w:pPr>
              <w:spacing w:after="0"/>
              <w:rPr>
                <w:sz w:val="1"/>
                <w:szCs w:val="1"/>
                <w:color w:val="auto"/>
              </w:rPr>
            </w:pPr>
          </w:p>
        </w:tc>
      </w:tr>
      <w:tr>
        <w:trPr>
          <w:trHeight w:val="222"/>
        </w:trPr>
        <w:tc>
          <w:tcPr>
            <w:tcW w:w="3980" w:type="dxa"/>
            <w:vAlign w:val="bottom"/>
          </w:tcPr>
          <w:p>
            <w:pPr>
              <w:ind w:left="100"/>
              <w:spacing w:after="0"/>
              <w:rPr>
                <w:sz w:val="20"/>
                <w:szCs w:val="20"/>
                <w:color w:val="auto"/>
              </w:rPr>
            </w:pPr>
            <w:r>
              <w:rPr>
                <w:rFonts w:ascii="Arial" w:cs="Arial" w:eastAsia="Arial" w:hAnsi="Arial"/>
                <w:sz w:val="14"/>
                <w:szCs w:val="14"/>
                <w:b w:val="1"/>
                <w:bCs w:val="1"/>
                <w:color w:val="auto"/>
              </w:rPr>
              <w:t>Yongsoo Kim</w:t>
            </w:r>
          </w:p>
        </w:tc>
        <w:tc>
          <w:tcPr>
            <w:tcW w:w="3880" w:type="dxa"/>
            <w:vAlign w:val="bottom"/>
          </w:tcPr>
          <w:p>
            <w:pPr>
              <w:jc w:val="right"/>
              <w:ind w:right="548"/>
              <w:spacing w:after="0"/>
              <w:rPr>
                <w:sz w:val="20"/>
                <w:szCs w:val="20"/>
                <w:color w:val="auto"/>
              </w:rPr>
            </w:pPr>
            <w:r>
              <w:rPr>
                <w:rFonts w:ascii="Arial" w:cs="Arial" w:eastAsia="Arial" w:hAnsi="Arial"/>
                <w:sz w:val="14"/>
                <w:szCs w:val="14"/>
                <w:color w:val="auto"/>
              </w:rPr>
              <w:t>131,967</w:t>
            </w:r>
          </w:p>
        </w:tc>
        <w:tc>
          <w:tcPr>
            <w:tcW w:w="1800" w:type="dxa"/>
            <w:vAlign w:val="bottom"/>
          </w:tcPr>
          <w:p>
            <w:pPr>
              <w:ind w:left="1120"/>
              <w:spacing w:after="0"/>
              <w:rPr>
                <w:sz w:val="20"/>
                <w:szCs w:val="20"/>
                <w:color w:val="auto"/>
              </w:rPr>
            </w:pPr>
            <w:r>
              <w:rPr>
                <w:rFonts w:ascii="Arial" w:cs="Arial" w:eastAsia="Arial" w:hAnsi="Arial"/>
                <w:sz w:val="14"/>
                <w:szCs w:val="14"/>
                <w:color w:val="auto"/>
              </w:rPr>
              <w:t>80</w:t>
            </w:r>
          </w:p>
        </w:tc>
        <w:tc>
          <w:tcPr>
            <w:tcW w:w="1580" w:type="dxa"/>
            <w:vAlign w:val="bottom"/>
          </w:tcPr>
          <w:p>
            <w:pPr>
              <w:jc w:val="right"/>
              <w:ind w:right="148"/>
              <w:spacing w:after="0"/>
              <w:rPr>
                <w:sz w:val="20"/>
                <w:szCs w:val="20"/>
                <w:color w:val="auto"/>
              </w:rPr>
            </w:pPr>
            <w:r>
              <w:rPr>
                <w:rFonts w:ascii="Arial" w:cs="Arial" w:eastAsia="Arial" w:hAnsi="Arial"/>
                <w:sz w:val="14"/>
                <w:szCs w:val="14"/>
                <w:color w:val="auto"/>
              </w:rPr>
              <w:t>105,573</w:t>
            </w:r>
          </w:p>
        </w:tc>
        <w:tc>
          <w:tcPr>
            <w:tcW w:w="0" w:type="dxa"/>
            <w:vAlign w:val="bottom"/>
          </w:tcPr>
          <w:p>
            <w:pPr>
              <w:spacing w:after="0"/>
              <w:rPr>
                <w:sz w:val="1"/>
                <w:szCs w:val="1"/>
                <w:color w:val="auto"/>
              </w:rPr>
            </w:pPr>
          </w:p>
        </w:tc>
      </w:tr>
      <w:tr>
        <w:trPr>
          <w:trHeight w:val="231"/>
        </w:trPr>
        <w:tc>
          <w:tcPr>
            <w:tcW w:w="3980" w:type="dxa"/>
            <w:vAlign w:val="bottom"/>
            <w:tcBorders>
              <w:bottom w:val="single" w:sz="8" w:color="auto"/>
            </w:tcBorders>
            <w:shd w:val="clear" w:color="auto" w:fill="F1F2F2"/>
          </w:tcPr>
          <w:p>
            <w:pPr>
              <w:ind w:left="100"/>
              <w:spacing w:after="0"/>
              <w:rPr>
                <w:sz w:val="20"/>
                <w:szCs w:val="20"/>
                <w:color w:val="auto"/>
              </w:rPr>
            </w:pPr>
            <w:r>
              <w:rPr>
                <w:rFonts w:ascii="Arial" w:cs="Arial" w:eastAsia="Arial" w:hAnsi="Arial"/>
                <w:sz w:val="14"/>
                <w:szCs w:val="14"/>
                <w:b w:val="1"/>
                <w:bCs w:val="1"/>
                <w:color w:val="auto"/>
              </w:rPr>
              <w:t>Hyeeun Son</w:t>
            </w:r>
          </w:p>
        </w:tc>
        <w:tc>
          <w:tcPr>
            <w:tcW w:w="3880" w:type="dxa"/>
            <w:vAlign w:val="bottom"/>
            <w:tcBorders>
              <w:bottom w:val="single" w:sz="8" w:color="auto"/>
            </w:tcBorders>
            <w:shd w:val="clear" w:color="auto" w:fill="F1F2F2"/>
          </w:tcPr>
          <w:p>
            <w:pPr>
              <w:jc w:val="right"/>
              <w:ind w:right="548"/>
              <w:spacing w:after="0"/>
              <w:rPr>
                <w:sz w:val="20"/>
                <w:szCs w:val="20"/>
                <w:color w:val="auto"/>
              </w:rPr>
            </w:pPr>
            <w:r>
              <w:rPr>
                <w:rFonts w:ascii="Arial" w:cs="Arial" w:eastAsia="Arial" w:hAnsi="Arial"/>
                <w:sz w:val="14"/>
                <w:szCs w:val="14"/>
                <w:color w:val="auto"/>
              </w:rPr>
              <w:t>86,208</w:t>
            </w:r>
          </w:p>
        </w:tc>
        <w:tc>
          <w:tcPr>
            <w:tcW w:w="1800" w:type="dxa"/>
            <w:vAlign w:val="bottom"/>
            <w:tcBorders>
              <w:bottom w:val="single" w:sz="8" w:color="auto"/>
            </w:tcBorders>
            <w:shd w:val="clear" w:color="auto" w:fill="F1F2F2"/>
          </w:tcPr>
          <w:p>
            <w:pPr>
              <w:ind w:left="1120"/>
              <w:spacing w:after="0"/>
              <w:rPr>
                <w:sz w:val="20"/>
                <w:szCs w:val="20"/>
                <w:color w:val="auto"/>
              </w:rPr>
            </w:pPr>
            <w:r>
              <w:rPr>
                <w:rFonts w:ascii="Arial" w:cs="Arial" w:eastAsia="Arial" w:hAnsi="Arial"/>
                <w:sz w:val="14"/>
                <w:szCs w:val="14"/>
                <w:color w:val="auto"/>
              </w:rPr>
              <w:t>80</w:t>
            </w:r>
          </w:p>
        </w:tc>
        <w:tc>
          <w:tcPr>
            <w:tcW w:w="1580" w:type="dxa"/>
            <w:vAlign w:val="bottom"/>
            <w:tcBorders>
              <w:bottom w:val="single" w:sz="8" w:color="auto"/>
            </w:tcBorders>
            <w:shd w:val="clear" w:color="auto" w:fill="F1F2F2"/>
          </w:tcPr>
          <w:p>
            <w:pPr>
              <w:jc w:val="right"/>
              <w:ind w:right="148"/>
              <w:spacing w:after="0"/>
              <w:rPr>
                <w:sz w:val="20"/>
                <w:szCs w:val="20"/>
                <w:color w:val="auto"/>
              </w:rPr>
            </w:pPr>
            <w:r>
              <w:rPr>
                <w:rFonts w:ascii="Arial" w:cs="Arial" w:eastAsia="Arial" w:hAnsi="Arial"/>
                <w:sz w:val="14"/>
                <w:szCs w:val="14"/>
                <w:color w:val="auto"/>
              </w:rPr>
              <w:t>68,966</w:t>
            </w: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340" w:right="580" w:hanging="332"/>
        <w:spacing w:after="0" w:line="305" w:lineRule="auto"/>
        <w:tabs>
          <w:tab w:leader="none" w:pos="338" w:val="left"/>
        </w:tabs>
        <w:numPr>
          <w:ilvl w:val="0"/>
          <w:numId w:val="19"/>
        </w:numPr>
        <w:rPr>
          <w:rFonts w:ascii="Arial" w:cs="Arial" w:eastAsia="Arial" w:hAnsi="Arial"/>
          <w:sz w:val="14"/>
          <w:szCs w:val="14"/>
          <w:color w:val="auto"/>
        </w:rPr>
      </w:pPr>
      <w:r>
        <w:rPr>
          <w:rFonts w:ascii="Arial" w:cs="Arial" w:eastAsia="Arial" w:hAnsi="Arial"/>
          <w:sz w:val="14"/>
          <w:szCs w:val="14"/>
          <w:color w:val="auto"/>
        </w:rPr>
        <w:t>Amounts in this table for Chankyu Park and Hyeeun Son were converted to U.S. dollars (USD) from Korean Won (KRW) based on the USD/KRW exchange rate of 1,434.90 on December 31, 2025.</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Long-Term Equity-Based Compensation</w:t>
      </w:r>
    </w:p>
    <w:p>
      <w:pPr>
        <w:spacing w:after="0" w:line="140" w:lineRule="exact"/>
        <w:rPr>
          <w:sz w:val="20"/>
          <w:szCs w:val="20"/>
          <w:color w:val="auto"/>
        </w:rPr>
      </w:pPr>
    </w:p>
    <w:p>
      <w:pPr>
        <w:ind w:right="20"/>
        <w:spacing w:after="0" w:line="304" w:lineRule="auto"/>
        <w:rPr>
          <w:sz w:val="20"/>
          <w:szCs w:val="20"/>
          <w:color w:val="auto"/>
        </w:rPr>
      </w:pPr>
      <w:r>
        <w:rPr>
          <w:rFonts w:ascii="Arial" w:cs="Arial" w:eastAsia="Arial" w:hAnsi="Arial"/>
          <w:sz w:val="16"/>
          <w:szCs w:val="16"/>
          <w:color w:val="auto"/>
        </w:rPr>
        <w:t>We believe that equity-based compensation is an important component of our executive compensation program and that providing a significant portion of our executive officers’ total compensation package in equity-based compensation aligns the incentives of our executives with the interests of our stockholders and with our long-term corporate success. Additionally, we believe that equity-based compensation awards enable us to attract, motivate, retain and adequately compensate executive talent. We believe equity awards provide executives with a significant long-term interest in our success by rewarding the creation of stockholder value over time.</w:t>
      </w:r>
    </w:p>
    <w:p>
      <w:pPr>
        <w:spacing w:after="0" w:line="131" w:lineRule="exact"/>
        <w:rPr>
          <w:sz w:val="20"/>
          <w:szCs w:val="20"/>
          <w:color w:val="auto"/>
        </w:rPr>
      </w:pPr>
    </w:p>
    <w:p>
      <w:pPr>
        <w:ind w:right="400"/>
        <w:spacing w:after="0" w:line="304" w:lineRule="auto"/>
        <w:rPr>
          <w:sz w:val="20"/>
          <w:szCs w:val="20"/>
          <w:color w:val="auto"/>
        </w:rPr>
      </w:pPr>
      <w:r>
        <w:rPr>
          <w:rFonts w:ascii="Arial" w:cs="Arial" w:eastAsia="Arial" w:hAnsi="Arial"/>
          <w:sz w:val="16"/>
          <w:szCs w:val="16"/>
          <w:color w:val="auto"/>
        </w:rPr>
        <w:t>The Company maintains the 2024 Omnibus Incentive Plan (the “Incentive Plan”). Each of our NEOs is eligible to participate in the Incentive Plan, which provides for the grant of stock options, stock appreciation rights, restricted stock, restricted stock units, performance-based awards, other stock-based awards and cash-based awards to employees and other service providers of the Company and its affiliates, including non-employee directors. The Compensation Committee determines the size and vesting terms of all awards made under the Incentive Plan and administers all other aspects of the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314960</wp:posOffset>
            </wp:positionV>
            <wp:extent cx="282575" cy="2743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82575"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280" w:type="dxa"/>
            <w:vAlign w:val="bottom"/>
          </w:tcPr>
          <w:p>
            <w:pPr>
              <w:ind w:left="20"/>
              <w:spacing w:after="0"/>
              <w:rPr>
                <w:sz w:val="20"/>
                <w:szCs w:val="20"/>
                <w:color w:val="auto"/>
              </w:rPr>
            </w:pPr>
            <w:r>
              <w:rPr>
                <w:rFonts w:ascii="Arial" w:cs="Arial" w:eastAsia="Arial" w:hAnsi="Arial"/>
                <w:sz w:val="14"/>
                <w:szCs w:val="14"/>
                <w:b w:val="1"/>
                <w:bCs w:val="1"/>
                <w:color w:val="auto"/>
              </w:rPr>
              <w:t>2026 Proxy Statement</w:t>
            </w:r>
          </w:p>
        </w:tc>
        <w:tc>
          <w:tcPr>
            <w:tcW w:w="4960" w:type="dxa"/>
            <w:vAlign w:val="bottom"/>
          </w:tcPr>
          <w:p>
            <w:pPr>
              <w:jc w:val="right"/>
              <w:spacing w:after="0"/>
              <w:rPr>
                <w:sz w:val="20"/>
                <w:szCs w:val="20"/>
                <w:color w:val="auto"/>
              </w:rPr>
            </w:pPr>
            <w:r>
              <w:rPr>
                <w:rFonts w:ascii="Arial" w:cs="Arial" w:eastAsia="Arial" w:hAnsi="Arial"/>
                <w:sz w:val="14"/>
                <w:szCs w:val="14"/>
                <w:b w:val="1"/>
                <w:bCs w:val="1"/>
                <w:color w:val="auto"/>
              </w:rPr>
              <w:t>27</w:t>
            </w:r>
          </w:p>
        </w:tc>
      </w:tr>
      <w:tr>
        <w:trPr>
          <w:trHeight w:val="360"/>
        </w:trPr>
        <w:tc>
          <w:tcPr>
            <w:tcW w:w="6280" w:type="dxa"/>
            <w:vAlign w:val="bottom"/>
            <w:tcBorders>
              <w:bottom w:val="single" w:sz="8" w:color="9A9A9A"/>
            </w:tcBorders>
          </w:tcPr>
          <w:p>
            <w:pPr>
              <w:spacing w:after="0"/>
              <w:rPr>
                <w:sz w:val="24"/>
                <w:szCs w:val="24"/>
                <w:color w:val="auto"/>
              </w:rPr>
            </w:pPr>
          </w:p>
        </w:tc>
        <w:tc>
          <w:tcPr>
            <w:tcW w:w="4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right="80"/>
        <w:spacing w:after="0" w:line="304" w:lineRule="auto"/>
        <w:rPr>
          <w:sz w:val="20"/>
          <w:szCs w:val="20"/>
          <w:color w:val="auto"/>
        </w:rPr>
      </w:pPr>
      <w:r>
        <w:rPr>
          <w:rFonts w:ascii="Arial" w:cs="Arial" w:eastAsia="Arial" w:hAnsi="Arial"/>
          <w:sz w:val="16"/>
          <w:szCs w:val="16"/>
          <w:color w:val="auto"/>
        </w:rPr>
        <w:t>The Company also maintains the 2020 Stock Option Plan (the “Prior Plan”), the Amended and Restated 2020 Stock Option Plan (the “A&amp;R Prior Plan”), the Second Amended and Restated 2020 Stock Option Plan (the “Second A&amp;R Prior Plan”), and the Third Amended and Restated 2020 Equity Incentive Plan (the “Third A&amp;R Prior Plan” and, collectively with the Prior Plan, the A&amp;R Prior Plan and the Second A&amp;R Prior Plan, the “Prior Plans”) pursuant to which our NEOs were granted incentive equity awards during fiscal year 2024 prior to the Company’s IPO. The Company does not intend to issue any future awards under the Prior Plans.</w:t>
      </w:r>
    </w:p>
    <w:p>
      <w:pPr>
        <w:spacing w:after="0" w:line="131" w:lineRule="exact"/>
        <w:rPr>
          <w:sz w:val="20"/>
          <w:szCs w:val="20"/>
          <w:color w:val="auto"/>
        </w:rPr>
      </w:pPr>
    </w:p>
    <w:p>
      <w:pPr>
        <w:ind w:right="220"/>
        <w:spacing w:after="0" w:line="319" w:lineRule="auto"/>
        <w:rPr>
          <w:sz w:val="20"/>
          <w:szCs w:val="20"/>
          <w:color w:val="auto"/>
        </w:rPr>
      </w:pPr>
      <w:r>
        <w:rPr>
          <w:rFonts w:ascii="Arial" w:cs="Arial" w:eastAsia="Arial" w:hAnsi="Arial"/>
          <w:sz w:val="16"/>
          <w:szCs w:val="16"/>
          <w:color w:val="auto"/>
        </w:rPr>
        <w:t>In determining the amount of long-term equity incentives to award our NEOs for fiscal year 2025, the Board reviewed grant values provided to comparable executives of similarly-situated companies and considered the NEO’s respective role and individual performance. In March and April of 2025, the Board approved awards of restricted stock units under the 2024 Omnibus Incentive Plan (collectively, the “2025 Equity Awards”), as detailed in the table below.</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20" w:type="dxa"/>
            <w:vAlign w:val="bottom"/>
          </w:tcPr>
          <w:p>
            <w:pPr>
              <w:spacing w:after="0"/>
              <w:rPr>
                <w:sz w:val="15"/>
                <w:szCs w:val="15"/>
                <w:color w:val="auto"/>
              </w:rPr>
            </w:pPr>
          </w:p>
        </w:tc>
        <w:tc>
          <w:tcPr>
            <w:tcW w:w="5060" w:type="dxa"/>
            <w:vAlign w:val="bottom"/>
            <w:vMerge w:val="restart"/>
          </w:tcPr>
          <w:p>
            <w:pPr>
              <w:jc w:val="right"/>
              <w:ind w:right="428"/>
              <w:spacing w:after="0"/>
              <w:rPr>
                <w:sz w:val="20"/>
                <w:szCs w:val="20"/>
                <w:color w:val="auto"/>
              </w:rPr>
            </w:pPr>
            <w:r>
              <w:rPr>
                <w:rFonts w:ascii="Arial" w:cs="Arial" w:eastAsia="Arial" w:hAnsi="Arial"/>
                <w:sz w:val="14"/>
                <w:szCs w:val="14"/>
                <w:b w:val="1"/>
                <w:bCs w:val="1"/>
                <w:color w:val="auto"/>
              </w:rPr>
              <w:t>Number of RSUs Granted</w:t>
            </w:r>
          </w:p>
        </w:tc>
        <w:tc>
          <w:tcPr>
            <w:tcW w:w="1560" w:type="dxa"/>
            <w:vAlign w:val="bottom"/>
          </w:tcPr>
          <w:p>
            <w:pPr>
              <w:jc w:val="right"/>
              <w:ind w:right="88"/>
              <w:spacing w:after="0"/>
              <w:rPr>
                <w:sz w:val="20"/>
                <w:szCs w:val="20"/>
                <w:color w:val="auto"/>
              </w:rPr>
            </w:pPr>
            <w:r>
              <w:rPr>
                <w:rFonts w:ascii="Arial" w:cs="Arial" w:eastAsia="Arial" w:hAnsi="Arial"/>
                <w:sz w:val="14"/>
                <w:szCs w:val="14"/>
                <w:b w:val="1"/>
                <w:bCs w:val="1"/>
                <w:color w:val="auto"/>
              </w:rPr>
              <w:t>Grant Value</w:t>
            </w:r>
          </w:p>
        </w:tc>
        <w:tc>
          <w:tcPr>
            <w:tcW w:w="0" w:type="dxa"/>
            <w:vAlign w:val="bottom"/>
          </w:tcPr>
          <w:p>
            <w:pPr>
              <w:spacing w:after="0"/>
              <w:rPr>
                <w:sz w:val="1"/>
                <w:szCs w:val="1"/>
                <w:color w:val="auto"/>
              </w:rPr>
            </w:pPr>
          </w:p>
        </w:tc>
      </w:tr>
      <w:tr>
        <w:trPr>
          <w:trHeight w:val="164"/>
        </w:trPr>
        <w:tc>
          <w:tcPr>
            <w:tcW w:w="4620" w:type="dxa"/>
            <w:vAlign w:val="bottom"/>
          </w:tcPr>
          <w:p>
            <w:pPr>
              <w:spacing w:after="0"/>
              <w:rPr>
                <w:sz w:val="14"/>
                <w:szCs w:val="14"/>
                <w:color w:val="auto"/>
              </w:rPr>
            </w:pPr>
          </w:p>
        </w:tc>
        <w:tc>
          <w:tcPr>
            <w:tcW w:w="5060" w:type="dxa"/>
            <w:vAlign w:val="bottom"/>
            <w:vMerge w:val="continue"/>
          </w:tcPr>
          <w:p>
            <w:pPr>
              <w:spacing w:after="0"/>
              <w:rPr>
                <w:sz w:val="14"/>
                <w:szCs w:val="14"/>
                <w:color w:val="auto"/>
              </w:rPr>
            </w:pPr>
          </w:p>
        </w:tc>
        <w:tc>
          <w:tcPr>
            <w:tcW w:w="1560" w:type="dxa"/>
            <w:vAlign w:val="bottom"/>
          </w:tcPr>
          <w:p>
            <w:pPr>
              <w:jc w:val="right"/>
              <w:ind w:right="88"/>
              <w:spacing w:after="0" w:line="164" w:lineRule="exact"/>
              <w:rPr>
                <w:sz w:val="20"/>
                <w:szCs w:val="20"/>
                <w:color w:val="auto"/>
              </w:rPr>
            </w:pPr>
            <w:r>
              <w:rPr>
                <w:rFonts w:ascii="Arial" w:cs="Arial" w:eastAsia="Arial" w:hAnsi="Arial"/>
                <w:sz w:val="14"/>
                <w:szCs w:val="14"/>
                <w:b w:val="1"/>
                <w:bCs w:val="1"/>
                <w:color w:val="auto"/>
              </w:rPr>
              <w:t>of Award(s)</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210"/>
        </w:trPr>
        <w:tc>
          <w:tcPr>
            <w:tcW w:w="4620" w:type="dxa"/>
            <w:vAlign w:val="bottom"/>
          </w:tcPr>
          <w:p>
            <w:pPr>
              <w:ind w:left="100"/>
              <w:spacing w:after="0"/>
              <w:rPr>
                <w:sz w:val="20"/>
                <w:szCs w:val="20"/>
                <w:color w:val="auto"/>
              </w:rPr>
            </w:pPr>
            <w:r>
              <w:rPr>
                <w:rFonts w:ascii="Arial" w:cs="Arial" w:eastAsia="Arial" w:hAnsi="Arial"/>
                <w:sz w:val="14"/>
                <w:szCs w:val="14"/>
                <w:b w:val="1"/>
                <w:bCs w:val="1"/>
                <w:color w:val="auto"/>
              </w:rPr>
              <w:t>Named Executive Officer</w:t>
            </w:r>
          </w:p>
        </w:tc>
        <w:tc>
          <w:tcPr>
            <w:tcW w:w="5060" w:type="dxa"/>
            <w:vAlign w:val="bottom"/>
          </w:tcPr>
          <w:p>
            <w:pPr>
              <w:jc w:val="right"/>
              <w:ind w:right="428"/>
              <w:spacing w:after="0"/>
              <w:rPr>
                <w:sz w:val="20"/>
                <w:szCs w:val="20"/>
                <w:color w:val="auto"/>
              </w:rPr>
            </w:pPr>
            <w:r>
              <w:rPr>
                <w:rFonts w:ascii="Arial" w:cs="Arial" w:eastAsia="Arial" w:hAnsi="Arial"/>
                <w:sz w:val="14"/>
                <w:szCs w:val="14"/>
                <w:b w:val="1"/>
                <w:bCs w:val="1"/>
                <w:color w:val="auto"/>
              </w:rPr>
              <w:t>(#)</w:t>
            </w:r>
          </w:p>
        </w:tc>
        <w:tc>
          <w:tcPr>
            <w:tcW w:w="15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97"/>
        </w:trPr>
        <w:tc>
          <w:tcPr>
            <w:tcW w:w="4620" w:type="dxa"/>
            <w:vAlign w:val="bottom"/>
          </w:tcPr>
          <w:p>
            <w:pPr>
              <w:spacing w:after="0"/>
              <w:rPr>
                <w:sz w:val="8"/>
                <w:szCs w:val="8"/>
                <w:color w:val="auto"/>
              </w:rPr>
            </w:pPr>
          </w:p>
        </w:tc>
        <w:tc>
          <w:tcPr>
            <w:tcW w:w="5060" w:type="dxa"/>
            <w:vAlign w:val="bottom"/>
          </w:tcPr>
          <w:p>
            <w:pPr>
              <w:spacing w:after="0"/>
              <w:rPr>
                <w:sz w:val="8"/>
                <w:szCs w:val="8"/>
                <w:color w:val="auto"/>
              </w:rPr>
            </w:pPr>
          </w:p>
        </w:tc>
        <w:tc>
          <w:tcPr>
            <w:tcW w:w="1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4620" w:type="dxa"/>
            <w:vAlign w:val="bottom"/>
            <w:shd w:val="clear" w:color="auto" w:fill="F1F2F2"/>
          </w:tcPr>
          <w:p>
            <w:pPr>
              <w:ind w:left="100"/>
              <w:spacing w:after="0"/>
              <w:rPr>
                <w:sz w:val="20"/>
                <w:szCs w:val="20"/>
                <w:color w:val="auto"/>
              </w:rPr>
            </w:pPr>
            <w:r>
              <w:rPr>
                <w:rFonts w:ascii="Arial" w:cs="Arial" w:eastAsia="Arial" w:hAnsi="Arial"/>
                <w:sz w:val="14"/>
                <w:szCs w:val="14"/>
                <w:b w:val="1"/>
                <w:bCs w:val="1"/>
                <w:color w:val="auto"/>
              </w:rPr>
              <w:t>Junkoo Kim</w:t>
            </w:r>
          </w:p>
        </w:tc>
        <w:tc>
          <w:tcPr>
            <w:tcW w:w="5060" w:type="dxa"/>
            <w:vAlign w:val="bottom"/>
            <w:shd w:val="clear" w:color="auto" w:fill="F1F2F2"/>
          </w:tcPr>
          <w:p>
            <w:pPr>
              <w:jc w:val="right"/>
              <w:ind w:right="428"/>
              <w:spacing w:after="0"/>
              <w:rPr>
                <w:sz w:val="20"/>
                <w:szCs w:val="20"/>
                <w:color w:val="auto"/>
              </w:rPr>
            </w:pPr>
            <w:r>
              <w:rPr>
                <w:rFonts w:ascii="Arial" w:cs="Arial" w:eastAsia="Arial" w:hAnsi="Arial"/>
                <w:sz w:val="14"/>
                <w:szCs w:val="14"/>
                <w:color w:val="auto"/>
              </w:rPr>
              <w:t>—</w:t>
            </w:r>
          </w:p>
        </w:tc>
        <w:tc>
          <w:tcPr>
            <w:tcW w:w="1560" w:type="dxa"/>
            <w:vAlign w:val="bottom"/>
            <w:shd w:val="clear" w:color="auto" w:fill="F1F2F2"/>
          </w:tcPr>
          <w:p>
            <w:pPr>
              <w:jc w:val="right"/>
              <w:ind w:right="1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2"/>
        </w:trPr>
        <w:tc>
          <w:tcPr>
            <w:tcW w:w="4620" w:type="dxa"/>
            <w:vAlign w:val="bottom"/>
          </w:tcPr>
          <w:p>
            <w:pPr>
              <w:ind w:left="100"/>
              <w:spacing w:after="0"/>
              <w:rPr>
                <w:sz w:val="20"/>
                <w:szCs w:val="20"/>
                <w:color w:val="auto"/>
              </w:rPr>
            </w:pPr>
            <w:r>
              <w:rPr>
                <w:rFonts w:ascii="Arial" w:cs="Arial" w:eastAsia="Arial" w:hAnsi="Arial"/>
                <w:sz w:val="14"/>
                <w:szCs w:val="14"/>
                <w:b w:val="1"/>
                <w:bCs w:val="1"/>
                <w:color w:val="auto"/>
              </w:rPr>
              <w:t>David J. Lee</w:t>
            </w:r>
          </w:p>
        </w:tc>
        <w:tc>
          <w:tcPr>
            <w:tcW w:w="506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15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7"/>
        </w:trPr>
        <w:tc>
          <w:tcPr>
            <w:tcW w:w="4620" w:type="dxa"/>
            <w:vAlign w:val="bottom"/>
            <w:shd w:val="clear" w:color="auto" w:fill="F1F2F2"/>
          </w:tcPr>
          <w:p>
            <w:pPr>
              <w:ind w:left="100"/>
              <w:spacing w:after="0"/>
              <w:rPr>
                <w:sz w:val="20"/>
                <w:szCs w:val="20"/>
                <w:color w:val="auto"/>
              </w:rPr>
            </w:pPr>
            <w:r>
              <w:rPr>
                <w:rFonts w:ascii="Arial" w:cs="Arial" w:eastAsia="Arial" w:hAnsi="Arial"/>
                <w:sz w:val="14"/>
                <w:szCs w:val="14"/>
                <w:b w:val="1"/>
                <w:bCs w:val="1"/>
                <w:color w:val="auto"/>
              </w:rPr>
              <w:t>Chankyu Park</w:t>
            </w:r>
          </w:p>
        </w:tc>
        <w:tc>
          <w:tcPr>
            <w:tcW w:w="5060" w:type="dxa"/>
            <w:vAlign w:val="bottom"/>
            <w:shd w:val="clear" w:color="auto" w:fill="F1F2F2"/>
          </w:tcPr>
          <w:p>
            <w:pPr>
              <w:jc w:val="right"/>
              <w:ind w:right="428"/>
              <w:spacing w:after="0"/>
              <w:rPr>
                <w:sz w:val="20"/>
                <w:szCs w:val="20"/>
                <w:color w:val="auto"/>
              </w:rPr>
            </w:pPr>
            <w:r>
              <w:rPr>
                <w:rFonts w:ascii="Arial" w:cs="Arial" w:eastAsia="Arial" w:hAnsi="Arial"/>
                <w:sz w:val="14"/>
                <w:szCs w:val="14"/>
                <w:color w:val="auto"/>
              </w:rPr>
              <w:t>22,802</w:t>
            </w:r>
          </w:p>
        </w:tc>
        <w:tc>
          <w:tcPr>
            <w:tcW w:w="1560" w:type="dxa"/>
            <w:vAlign w:val="bottom"/>
            <w:shd w:val="clear" w:color="auto" w:fill="F1F2F2"/>
          </w:tcPr>
          <w:p>
            <w:pPr>
              <w:jc w:val="right"/>
              <w:ind w:right="148"/>
              <w:spacing w:after="0"/>
              <w:rPr>
                <w:sz w:val="20"/>
                <w:szCs w:val="20"/>
                <w:color w:val="auto"/>
              </w:rPr>
            </w:pPr>
            <w:r>
              <w:rPr>
                <w:rFonts w:ascii="Arial" w:cs="Arial" w:eastAsia="Arial" w:hAnsi="Arial"/>
                <w:sz w:val="14"/>
                <w:szCs w:val="14"/>
                <w:color w:val="auto"/>
              </w:rPr>
              <w:t>210,006</w:t>
            </w:r>
          </w:p>
        </w:tc>
        <w:tc>
          <w:tcPr>
            <w:tcW w:w="0" w:type="dxa"/>
            <w:vAlign w:val="bottom"/>
          </w:tcPr>
          <w:p>
            <w:pPr>
              <w:spacing w:after="0"/>
              <w:rPr>
                <w:sz w:val="1"/>
                <w:szCs w:val="1"/>
                <w:color w:val="auto"/>
              </w:rPr>
            </w:pPr>
          </w:p>
        </w:tc>
      </w:tr>
      <w:tr>
        <w:trPr>
          <w:trHeight w:val="222"/>
        </w:trPr>
        <w:tc>
          <w:tcPr>
            <w:tcW w:w="4620" w:type="dxa"/>
            <w:vAlign w:val="bottom"/>
          </w:tcPr>
          <w:p>
            <w:pPr>
              <w:ind w:left="100"/>
              <w:spacing w:after="0"/>
              <w:rPr>
                <w:sz w:val="20"/>
                <w:szCs w:val="20"/>
                <w:color w:val="auto"/>
              </w:rPr>
            </w:pPr>
            <w:r>
              <w:rPr>
                <w:rFonts w:ascii="Arial" w:cs="Arial" w:eastAsia="Arial" w:hAnsi="Arial"/>
                <w:sz w:val="14"/>
                <w:szCs w:val="14"/>
                <w:b w:val="1"/>
                <w:bCs w:val="1"/>
                <w:color w:val="auto"/>
              </w:rPr>
              <w:t>Yongsoo Kim</w:t>
            </w:r>
          </w:p>
        </w:tc>
        <w:tc>
          <w:tcPr>
            <w:tcW w:w="5060" w:type="dxa"/>
            <w:vAlign w:val="bottom"/>
          </w:tcPr>
          <w:p>
            <w:pPr>
              <w:jc w:val="right"/>
              <w:ind w:right="428"/>
              <w:spacing w:after="0"/>
              <w:rPr>
                <w:sz w:val="20"/>
                <w:szCs w:val="20"/>
                <w:color w:val="auto"/>
              </w:rPr>
            </w:pPr>
            <w:r>
              <w:rPr>
                <w:rFonts w:ascii="Arial" w:cs="Arial" w:eastAsia="Arial" w:hAnsi="Arial"/>
                <w:sz w:val="14"/>
                <w:szCs w:val="14"/>
                <w:color w:val="auto"/>
              </w:rPr>
              <w:t>27,384</w:t>
            </w:r>
          </w:p>
        </w:tc>
        <w:tc>
          <w:tcPr>
            <w:tcW w:w="1560" w:type="dxa"/>
            <w:vAlign w:val="bottom"/>
          </w:tcPr>
          <w:p>
            <w:pPr>
              <w:jc w:val="right"/>
              <w:ind w:right="148"/>
              <w:spacing w:after="0"/>
              <w:rPr>
                <w:sz w:val="20"/>
                <w:szCs w:val="20"/>
                <w:color w:val="auto"/>
              </w:rPr>
            </w:pPr>
            <w:r>
              <w:rPr>
                <w:rFonts w:ascii="Arial" w:cs="Arial" w:eastAsia="Arial" w:hAnsi="Arial"/>
                <w:sz w:val="14"/>
                <w:szCs w:val="14"/>
                <w:color w:val="auto"/>
              </w:rPr>
              <w:t>241,511</w:t>
            </w:r>
          </w:p>
        </w:tc>
        <w:tc>
          <w:tcPr>
            <w:tcW w:w="0" w:type="dxa"/>
            <w:vAlign w:val="bottom"/>
          </w:tcPr>
          <w:p>
            <w:pPr>
              <w:spacing w:after="0"/>
              <w:rPr>
                <w:sz w:val="1"/>
                <w:szCs w:val="1"/>
                <w:color w:val="auto"/>
              </w:rPr>
            </w:pPr>
          </w:p>
        </w:tc>
      </w:tr>
      <w:tr>
        <w:trPr>
          <w:trHeight w:val="231"/>
        </w:trPr>
        <w:tc>
          <w:tcPr>
            <w:tcW w:w="4620" w:type="dxa"/>
            <w:vAlign w:val="bottom"/>
            <w:tcBorders>
              <w:bottom w:val="single" w:sz="8" w:color="auto"/>
            </w:tcBorders>
            <w:shd w:val="clear" w:color="auto" w:fill="F1F2F2"/>
          </w:tcPr>
          <w:p>
            <w:pPr>
              <w:ind w:left="100"/>
              <w:spacing w:after="0"/>
              <w:rPr>
                <w:sz w:val="20"/>
                <w:szCs w:val="20"/>
                <w:color w:val="auto"/>
              </w:rPr>
            </w:pPr>
            <w:r>
              <w:rPr>
                <w:rFonts w:ascii="Arial" w:cs="Arial" w:eastAsia="Arial" w:hAnsi="Arial"/>
                <w:sz w:val="14"/>
                <w:szCs w:val="14"/>
                <w:b w:val="1"/>
                <w:bCs w:val="1"/>
                <w:color w:val="auto"/>
              </w:rPr>
              <w:t>Hyeeun Son</w:t>
            </w:r>
          </w:p>
        </w:tc>
        <w:tc>
          <w:tcPr>
            <w:tcW w:w="5060" w:type="dxa"/>
            <w:vAlign w:val="bottom"/>
            <w:tcBorders>
              <w:bottom w:val="single" w:sz="8" w:color="auto"/>
            </w:tcBorders>
            <w:shd w:val="clear" w:color="auto" w:fill="F1F2F2"/>
          </w:tcPr>
          <w:p>
            <w:pPr>
              <w:jc w:val="right"/>
              <w:ind w:right="428"/>
              <w:spacing w:after="0"/>
              <w:rPr>
                <w:sz w:val="20"/>
                <w:szCs w:val="20"/>
                <w:color w:val="auto"/>
              </w:rPr>
            </w:pPr>
            <w:r>
              <w:rPr>
                <w:rFonts w:ascii="Arial" w:cs="Arial" w:eastAsia="Arial" w:hAnsi="Arial"/>
                <w:sz w:val="14"/>
                <w:szCs w:val="14"/>
                <w:color w:val="auto"/>
              </w:rPr>
              <w:t>18,242</w:t>
            </w:r>
          </w:p>
        </w:tc>
        <w:tc>
          <w:tcPr>
            <w:tcW w:w="1560" w:type="dxa"/>
            <w:vAlign w:val="bottom"/>
            <w:tcBorders>
              <w:bottom w:val="single" w:sz="8" w:color="auto"/>
            </w:tcBorders>
            <w:shd w:val="clear" w:color="auto" w:fill="F1F2F2"/>
          </w:tcPr>
          <w:p>
            <w:pPr>
              <w:jc w:val="right"/>
              <w:ind w:right="148"/>
              <w:spacing w:after="0"/>
              <w:rPr>
                <w:sz w:val="20"/>
                <w:szCs w:val="20"/>
                <w:color w:val="auto"/>
              </w:rPr>
            </w:pPr>
            <w:r>
              <w:rPr>
                <w:rFonts w:ascii="Arial" w:cs="Arial" w:eastAsia="Arial" w:hAnsi="Arial"/>
                <w:sz w:val="14"/>
                <w:szCs w:val="14"/>
                <w:color w:val="auto"/>
              </w:rPr>
              <w:t>168,009</w:t>
            </w: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Amounts in this column were computed in accordance with FASB ASC Topic 718.</w:t>
      </w: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color w:val="auto"/>
        </w:rPr>
        <w:t>The 2025 Equity Awards were granted subject to vesting based on a service-based vesting schedule, as described below.</w:t>
      </w:r>
    </w:p>
    <w:p>
      <w:pPr>
        <w:spacing w:after="0" w:line="208" w:lineRule="exact"/>
        <w:rPr>
          <w:sz w:val="20"/>
          <w:szCs w:val="20"/>
          <w:color w:val="auto"/>
        </w:rPr>
      </w:pPr>
    </w:p>
    <w:p>
      <w:pPr>
        <w:jc w:val="both"/>
        <w:ind w:right="40"/>
        <w:spacing w:after="0" w:line="306" w:lineRule="auto"/>
        <w:rPr>
          <w:sz w:val="20"/>
          <w:szCs w:val="20"/>
          <w:color w:val="auto"/>
        </w:rPr>
      </w:pPr>
      <w:r>
        <w:rPr>
          <w:rFonts w:ascii="Arial" w:cs="Arial" w:eastAsia="Arial" w:hAnsi="Arial"/>
          <w:sz w:val="16"/>
          <w:szCs w:val="16"/>
          <w:color w:val="auto"/>
        </w:rPr>
        <w:t>The restricted stock unit awards time-vest as follows, in each case, subject to each NEO’s continued employment through the applicable vesting date: (a) for Chankyu Park, Yongsoo Kim and Hyeeun Son, the restricted stock units vest in installments of 30%, 30% and 40% on March 15, 2025, the first and second anniversary of that date; and (b) for Yongsoo Kim’s second grant for fiscal year 2025, the restricted stock units vest in installments of 30%, 30% and 40% on April 15, 2025, the first and second anniversary of that date.</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Fiscal 2026 PSU Program</w:t>
      </w:r>
    </w:p>
    <w:p>
      <w:pPr>
        <w:spacing w:after="0" w:line="140" w:lineRule="exact"/>
        <w:rPr>
          <w:sz w:val="20"/>
          <w:szCs w:val="20"/>
          <w:color w:val="auto"/>
        </w:rPr>
      </w:pPr>
    </w:p>
    <w:p>
      <w:pPr>
        <w:ind w:right="40"/>
        <w:spacing w:after="0" w:line="319" w:lineRule="auto"/>
        <w:rPr>
          <w:sz w:val="20"/>
          <w:szCs w:val="20"/>
          <w:color w:val="auto"/>
        </w:rPr>
      </w:pPr>
      <w:r>
        <w:rPr>
          <w:rFonts w:ascii="Arial" w:cs="Arial" w:eastAsia="Arial" w:hAnsi="Arial"/>
          <w:sz w:val="16"/>
          <w:szCs w:val="16"/>
          <w:color w:val="auto"/>
        </w:rPr>
        <w:t>In March 2026, the Compensation Committee introduced a performance stock unit (“PSU”) program as an additional component of the Company’s long-term equity compensation program for senior executives. The PSU program is designed to strengthen the alignment between executive compensation and long-term stockholder value creation.</w:t>
      </w:r>
    </w:p>
    <w:p>
      <w:pPr>
        <w:spacing w:after="0" w:line="117" w:lineRule="exact"/>
        <w:rPr>
          <w:sz w:val="20"/>
          <w:szCs w:val="20"/>
          <w:color w:val="auto"/>
        </w:rPr>
      </w:pPr>
    </w:p>
    <w:p>
      <w:pPr>
        <w:ind w:right="220"/>
        <w:spacing w:after="0" w:line="310" w:lineRule="auto"/>
        <w:rPr>
          <w:sz w:val="20"/>
          <w:szCs w:val="20"/>
          <w:color w:val="auto"/>
        </w:rPr>
      </w:pPr>
      <w:r>
        <w:rPr>
          <w:rFonts w:ascii="Arial" w:cs="Arial" w:eastAsia="Arial" w:hAnsi="Arial"/>
          <w:sz w:val="16"/>
          <w:szCs w:val="16"/>
          <w:color w:val="auto"/>
        </w:rPr>
        <w:t>Under the PSU program, PSUs may be granted annually to certain senior executives with significant responsibility for the Company’s performance. The PSUs are subject to a three-year performance period and are settled in shares of the Company’s common stock following the completion of the applicable performance period.</w:t>
      </w:r>
    </w:p>
    <w:p>
      <w:pPr>
        <w:spacing w:after="0" w:line="124" w:lineRule="exact"/>
        <w:rPr>
          <w:sz w:val="20"/>
          <w:szCs w:val="20"/>
          <w:color w:val="auto"/>
        </w:rPr>
      </w:pPr>
    </w:p>
    <w:p>
      <w:pPr>
        <w:ind w:right="220"/>
        <w:spacing w:after="0" w:line="319" w:lineRule="auto"/>
        <w:rPr>
          <w:sz w:val="20"/>
          <w:szCs w:val="20"/>
          <w:color w:val="auto"/>
        </w:rPr>
      </w:pPr>
      <w:r>
        <w:rPr>
          <w:rFonts w:ascii="Arial" w:cs="Arial" w:eastAsia="Arial" w:hAnsi="Arial"/>
          <w:sz w:val="16"/>
          <w:szCs w:val="16"/>
          <w:color w:val="auto"/>
        </w:rPr>
        <w:t>The number of shares earned under the PSUs will be determined based on the Company’s total stockholder return (“TSR”) relative to the TSR of a performance peer group (relative TSR, or “rTSR”) over the three-year performance period. The peer group used for this purpose consists of companies within the Interactive Home Entertainment, Internet Services and Infrastructure, Interactive Media and Services, and Movies and Entertainment industries.</w:t>
      </w:r>
    </w:p>
    <w:p>
      <w:pPr>
        <w:spacing w:after="0" w:line="117" w:lineRule="exact"/>
        <w:rPr>
          <w:sz w:val="20"/>
          <w:szCs w:val="20"/>
          <w:color w:val="auto"/>
        </w:rPr>
      </w:pPr>
    </w:p>
    <w:p>
      <w:pPr>
        <w:jc w:val="both"/>
        <w:ind w:right="100"/>
        <w:spacing w:after="0" w:line="310" w:lineRule="auto"/>
        <w:rPr>
          <w:sz w:val="20"/>
          <w:szCs w:val="20"/>
          <w:color w:val="auto"/>
        </w:rPr>
      </w:pPr>
      <w:r>
        <w:rPr>
          <w:rFonts w:ascii="Arial" w:cs="Arial" w:eastAsia="Arial" w:hAnsi="Arial"/>
          <w:sz w:val="16"/>
          <w:szCs w:val="16"/>
          <w:color w:val="auto"/>
        </w:rPr>
        <w:t>The PSU program provides for a payout opportunity ranging from 0% to 200% of the target number of PSUs granted, depending on the Company’s relative TSR performance compared to the peer group over the three-year performance period. No PSUs will be earned if the Company’s relative TSR performance falls below the threshold level established by the Compensation Committee.</w:t>
      </w:r>
    </w:p>
    <w:p>
      <w:pPr>
        <w:spacing w:after="0" w:line="124" w:lineRule="exact"/>
        <w:rPr>
          <w:sz w:val="20"/>
          <w:szCs w:val="20"/>
          <w:color w:val="auto"/>
        </w:rPr>
      </w:pPr>
    </w:p>
    <w:p>
      <w:pPr>
        <w:ind w:right="620"/>
        <w:spacing w:after="0" w:line="339" w:lineRule="auto"/>
        <w:rPr>
          <w:sz w:val="20"/>
          <w:szCs w:val="20"/>
          <w:color w:val="auto"/>
        </w:rPr>
      </w:pPr>
      <w:r>
        <w:rPr>
          <w:rFonts w:ascii="Arial" w:cs="Arial" w:eastAsia="Arial" w:hAnsi="Arial"/>
          <w:sz w:val="16"/>
          <w:szCs w:val="16"/>
          <w:color w:val="auto"/>
        </w:rPr>
        <w:t>The Compensation Committee selected rTSR as the performance metric because it directly links executive compensation to stockholder returns and provides an objective measure of the Company’s performance relative to its peers.</w:t>
      </w:r>
    </w:p>
    <w:p>
      <w:pPr>
        <w:spacing w:after="0" w:line="200" w:lineRule="exact"/>
        <w:rPr>
          <w:sz w:val="20"/>
          <w:szCs w:val="20"/>
          <w:color w:val="auto"/>
        </w:rPr>
      </w:pPr>
    </w:p>
    <w:p>
      <w:pPr>
        <w:spacing w:after="0" w:line="223" w:lineRule="exact"/>
        <w:rPr>
          <w:sz w:val="20"/>
          <w:szCs w:val="20"/>
          <w:color w:val="auto"/>
        </w:rPr>
      </w:pPr>
    </w:p>
    <w:p>
      <w:pPr>
        <w:ind w:left="20"/>
        <w:spacing w:after="0"/>
        <w:tabs>
          <w:tab w:leader="none" w:pos="5360" w:val="left"/>
        </w:tabs>
        <w:rPr>
          <w:sz w:val="20"/>
          <w:szCs w:val="20"/>
          <w:color w:val="auto"/>
        </w:rPr>
      </w:pPr>
      <w:r>
        <w:rPr>
          <w:rFonts w:ascii="Arial" w:cs="Arial" w:eastAsia="Arial" w:hAnsi="Arial"/>
          <w:sz w:val="14"/>
          <w:szCs w:val="14"/>
          <w:b w:val="1"/>
          <w:bCs w:val="1"/>
          <w:color w:val="auto"/>
        </w:rPr>
        <w:t>28</w:t>
      </w:r>
      <w:r>
        <w:rPr>
          <w:sz w:val="20"/>
          <w:szCs w:val="20"/>
          <w:color w:val="auto"/>
        </w:rPr>
        <w:tab/>
      </w:r>
      <w:r>
        <w:rPr>
          <w:sz w:val="1"/>
          <w:szCs w:val="1"/>
          <w:color w:val="auto"/>
        </w:rPr>
        <w:drawing>
          <wp:inline distT="0" distB="0" distL="0" distR="0">
            <wp:extent cx="282575" cy="274320"/>
            <wp:effectExtent l="0" t="0" r="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82575" cy="274320"/>
                    </a:xfrm>
                    <a:prstGeom prst="rect">
                      <a:avLst/>
                    </a:prstGeom>
                    <a:noFill/>
                    <a:ln>
                      <a:noFill/>
                    </a:ln>
                  </pic:spPr>
                </pic:pic>
              </a:graphicData>
            </a:graphic>
          </wp:inline>
        </w:drawing>
      </w:r>
      <w:r>
        <w:rPr>
          <w:rFonts w:ascii="Arial" w:cs="Arial" w:eastAsia="Arial" w:hAnsi="Arial"/>
          <w:sz w:val="14"/>
          <w:szCs w:val="14"/>
          <w:b w:val="1"/>
          <w:bCs w:val="1"/>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20"/>
          <w:szCs w:val="20"/>
          <w:b w:val="1"/>
          <w:bCs w:val="1"/>
          <w:color w:val="00DC64"/>
        </w:rPr>
        <w:t>OTHER EXECUTIVE BENEFITS AND PERQUISITES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We provide the following benefits to our executive officers on the same basis as other eligible employees, including:</w:t>
      </w:r>
    </w:p>
    <w:p>
      <w:pPr>
        <w:spacing w:after="0" w:line="194" w:lineRule="exact"/>
        <w:rPr>
          <w:sz w:val="20"/>
          <w:szCs w:val="20"/>
          <w:color w:val="auto"/>
        </w:rPr>
      </w:pPr>
    </w:p>
    <w:p>
      <w:pPr>
        <w:ind w:left="640" w:hanging="308"/>
        <w:spacing w:after="0"/>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health insurance;</w:t>
      </w:r>
    </w:p>
    <w:p>
      <w:pPr>
        <w:spacing w:after="0" w:line="99" w:lineRule="exact"/>
        <w:rPr>
          <w:rFonts w:ascii="Arial" w:cs="Arial" w:eastAsia="Arial" w:hAnsi="Arial"/>
          <w:sz w:val="16"/>
          <w:szCs w:val="16"/>
          <w:color w:val="auto"/>
        </w:rPr>
      </w:pPr>
    </w:p>
    <w:p>
      <w:pPr>
        <w:ind w:left="640" w:hanging="308"/>
        <w:spacing w:after="0"/>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vacation, personal holidays and sick days;</w:t>
      </w:r>
    </w:p>
    <w:p>
      <w:pPr>
        <w:spacing w:after="0" w:line="99" w:lineRule="exact"/>
        <w:rPr>
          <w:rFonts w:ascii="Arial" w:cs="Arial" w:eastAsia="Arial" w:hAnsi="Arial"/>
          <w:sz w:val="16"/>
          <w:szCs w:val="16"/>
          <w:color w:val="auto"/>
        </w:rPr>
      </w:pPr>
    </w:p>
    <w:p>
      <w:pPr>
        <w:ind w:left="640" w:hanging="308"/>
        <w:spacing w:after="0"/>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celebratory gift cards; and</w:t>
      </w:r>
    </w:p>
    <w:p>
      <w:pPr>
        <w:spacing w:after="0" w:line="99" w:lineRule="exact"/>
        <w:rPr>
          <w:rFonts w:ascii="Arial" w:cs="Arial" w:eastAsia="Arial" w:hAnsi="Arial"/>
          <w:sz w:val="16"/>
          <w:szCs w:val="16"/>
          <w:color w:val="auto"/>
        </w:rPr>
      </w:pPr>
    </w:p>
    <w:p>
      <w:pPr>
        <w:ind w:left="640" w:hanging="308"/>
        <w:spacing w:after="0"/>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for Junkoo Kim and David J. Lee, a 401(k) plan with matching contributions.</w:t>
      </w:r>
    </w:p>
    <w:p>
      <w:pPr>
        <w:spacing w:after="0" w:line="208" w:lineRule="exact"/>
        <w:rPr>
          <w:sz w:val="20"/>
          <w:szCs w:val="20"/>
          <w:color w:val="auto"/>
        </w:rPr>
      </w:pPr>
    </w:p>
    <w:p>
      <w:pPr>
        <w:ind w:right="160"/>
        <w:spacing w:after="0" w:line="321" w:lineRule="auto"/>
        <w:rPr>
          <w:sz w:val="20"/>
          <w:szCs w:val="20"/>
          <w:color w:val="auto"/>
        </w:rPr>
      </w:pPr>
      <w:r>
        <w:rPr>
          <w:rFonts w:ascii="Arial" w:cs="Arial" w:eastAsia="Arial" w:hAnsi="Arial"/>
          <w:sz w:val="16"/>
          <w:szCs w:val="16"/>
          <w:color w:val="auto"/>
        </w:rPr>
        <w:t>We believe these benefits are generally consistent with those offered by other companies and specifically with those companies with which we compete for employees.</w:t>
      </w:r>
    </w:p>
    <w:p>
      <w:pPr>
        <w:spacing w:after="0" w:line="115"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We also provide a comprehensive executive physical exam program for our executives. This program is designed to encourage proactive health management and long-term wellness by providing reimbursements for each executive officer and one designated dependent for their access to advanced preventative health assessments and routine diagnostic services. The scope of this benefit is strictly limited to preventative screenings and diagnostic procedures, and does not extend to the treatment of specific medical conditions or injuries.</w:t>
      </w:r>
    </w:p>
    <w:p>
      <w:pPr>
        <w:spacing w:after="0" w:line="110" w:lineRule="exact"/>
        <w:rPr>
          <w:sz w:val="20"/>
          <w:szCs w:val="20"/>
          <w:color w:val="auto"/>
        </w:rPr>
      </w:pPr>
    </w:p>
    <w:p>
      <w:pPr>
        <w:jc w:val="both"/>
        <w:ind w:right="240"/>
        <w:spacing w:after="0" w:line="319" w:lineRule="auto"/>
        <w:rPr>
          <w:sz w:val="20"/>
          <w:szCs w:val="20"/>
          <w:color w:val="auto"/>
        </w:rPr>
      </w:pPr>
      <w:r>
        <w:rPr>
          <w:rFonts w:ascii="Arial" w:cs="Arial" w:eastAsia="Arial" w:hAnsi="Arial"/>
          <w:sz w:val="16"/>
          <w:szCs w:val="16"/>
          <w:color w:val="auto"/>
        </w:rPr>
        <w:t>Our Executive Language Learning Support Policy is designed to encourage and support language skill development among executive leaders to promote cross-cultural communication and global collaboration. This benefit provides reimbursements for a variety of educational resources, including instructional materials, private tutoring, online courses, and other services directly related to enhancing language proficiency.</w:t>
      </w:r>
    </w:p>
    <w:p>
      <w:pPr>
        <w:spacing w:after="0" w:line="117"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Pursuant to his employment agreement, David J. Lee is entitled to reimbursement for all reasonable and necessary commuting expenses for airfare, hotel, and ground transportation between the San Francisco Bay Area and Los Angeles for five days per week from January 1, 2024 to December 31, 2026 (or if earlier, the date of his termination of employment), with the aggregate amount reimbursed not to exceed $50,000 for each six-month period between January 1, 2024 to December 31, 2026.</w:t>
      </w:r>
    </w:p>
    <w:p>
      <w:pPr>
        <w:spacing w:after="0" w:line="128" w:lineRule="exact"/>
        <w:rPr>
          <w:sz w:val="20"/>
          <w:szCs w:val="20"/>
          <w:color w:val="auto"/>
        </w:rPr>
      </w:pPr>
    </w:p>
    <w:p>
      <w:pPr>
        <w:ind w:right="40"/>
        <w:spacing w:after="0" w:line="303" w:lineRule="auto"/>
        <w:rPr>
          <w:sz w:val="20"/>
          <w:szCs w:val="20"/>
          <w:color w:val="auto"/>
        </w:rPr>
      </w:pPr>
      <w:r>
        <w:rPr>
          <w:rFonts w:ascii="Arial" w:cs="Arial" w:eastAsia="Arial" w:hAnsi="Arial"/>
          <w:sz w:val="16"/>
          <w:szCs w:val="16"/>
          <w:color w:val="auto"/>
        </w:rPr>
        <w:t>Each of our NEOs except David J. Lee is entitled to receive an annual cash payment equal to the excess, if any, of the NEO’s business expense budget for the applicable fiscal year over the amount the NEO actually spent in respect of such budget (the “Excess Budget Payment”). Any Excess Budget Payment is paid in January of the fiscal year following the year to which the payment relates, regardless of whether the NEO remains employed through the date of payment. In the event the NEO terminates employment during the applicable fiscal year for any reason other than Cause, the NEO would be entitled to payment of a prorated amount of the Excess Budget Payment as calculated on the date of termination, prorated based on time worked during the applicable fiscal year. Excess Budget Payments for fiscal year 2025 were paid to Chankyu Park and Hyeeun Son.</w:t>
      </w:r>
    </w:p>
    <w:p>
      <w:pPr>
        <w:spacing w:after="0" w:line="132" w:lineRule="exact"/>
        <w:rPr>
          <w:sz w:val="20"/>
          <w:szCs w:val="20"/>
          <w:color w:val="auto"/>
        </w:rPr>
      </w:pPr>
    </w:p>
    <w:p>
      <w:pPr>
        <w:ind w:right="20"/>
        <w:spacing w:after="0" w:line="303" w:lineRule="auto"/>
        <w:rPr>
          <w:sz w:val="20"/>
          <w:szCs w:val="20"/>
          <w:color w:val="auto"/>
        </w:rPr>
      </w:pPr>
      <w:r>
        <w:rPr>
          <w:rFonts w:ascii="Arial" w:cs="Arial" w:eastAsia="Arial" w:hAnsi="Arial"/>
          <w:sz w:val="16"/>
          <w:szCs w:val="16"/>
          <w:color w:val="auto"/>
        </w:rPr>
        <w:t>In 2026, the Company adopted a tax equalization policy for select employees who are on an international assignment or perform job duties across multiple jurisdictions (the “Tax Equalization Policy”). The Tax Equalization Policy provides covered employees a tax equalization benefit designed to neutralize the tax effect of international assignments and/or multi-jurisdictional roles so that they pay approximately the same income and social taxes that would have been paid had they remained in their respective “home country” (including with respect to any taxable income recognized as a result of such benefit). The Tax Equalization Policy also provides that the Company will, subject to terms and conditions therein, pay for the preparation of covered employees’ tax returns for the tax years affected by the applicable international assignment and/or multi-jurisdictional role. The amount of the tax equalization benefit will be determined and paid out following the tax year to which the payment relates.</w:t>
      </w:r>
    </w:p>
    <w:p>
      <w:pPr>
        <w:spacing w:after="0" w:line="116" w:lineRule="exact"/>
        <w:rPr>
          <w:sz w:val="20"/>
          <w:szCs w:val="20"/>
          <w:color w:val="auto"/>
        </w:rPr>
      </w:pPr>
    </w:p>
    <w:p>
      <w:pPr>
        <w:ind w:right="180"/>
        <w:spacing w:after="0" w:line="304" w:lineRule="auto"/>
        <w:rPr>
          <w:sz w:val="20"/>
          <w:szCs w:val="20"/>
          <w:color w:val="auto"/>
        </w:rPr>
      </w:pPr>
      <w:r>
        <w:rPr>
          <w:rFonts w:ascii="Arial" w:cs="Arial" w:eastAsia="Arial" w:hAnsi="Arial"/>
          <w:sz w:val="16"/>
          <w:szCs w:val="16"/>
          <w:color w:val="auto"/>
        </w:rPr>
        <w:t>Junkoo Kim and Yongsoo Kim will participate in the Tax Equalization Policy as a result of the additional tax burden created by their multi-jurisdictional roles with the Company. For Junkoo Kim, the Tax Equalization Policy will also be applied retroactively so that he receives a tax equalization benefit for the 2024 and 2025 tax years (payable in fiscal year 2026 or later). For Yongsoo Kim, the Tax Equalization Policy was (and is being) applied to determine disbursements in respect of the net-of-tax arrangement under the Company’s formal expatriate support policy for the 2025 tax year, as described below. In fiscal year 2025, no payments or reimbursements were made to either Junkoo Kim or Yongsoo Kim under the Tax Equalization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314960</wp:posOffset>
            </wp:positionV>
            <wp:extent cx="282575" cy="2743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82575"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280" w:type="dxa"/>
            <w:vAlign w:val="bottom"/>
          </w:tcPr>
          <w:p>
            <w:pPr>
              <w:ind w:left="20"/>
              <w:spacing w:after="0"/>
              <w:rPr>
                <w:sz w:val="20"/>
                <w:szCs w:val="20"/>
                <w:color w:val="auto"/>
              </w:rPr>
            </w:pPr>
            <w:r>
              <w:rPr>
                <w:rFonts w:ascii="Arial" w:cs="Arial" w:eastAsia="Arial" w:hAnsi="Arial"/>
                <w:sz w:val="14"/>
                <w:szCs w:val="14"/>
                <w:b w:val="1"/>
                <w:bCs w:val="1"/>
                <w:color w:val="auto"/>
              </w:rPr>
              <w:t>2026 Proxy Statement</w:t>
            </w:r>
          </w:p>
        </w:tc>
        <w:tc>
          <w:tcPr>
            <w:tcW w:w="4960" w:type="dxa"/>
            <w:vAlign w:val="bottom"/>
          </w:tcPr>
          <w:p>
            <w:pPr>
              <w:jc w:val="right"/>
              <w:spacing w:after="0"/>
              <w:rPr>
                <w:sz w:val="20"/>
                <w:szCs w:val="20"/>
                <w:color w:val="auto"/>
              </w:rPr>
            </w:pPr>
            <w:r>
              <w:rPr>
                <w:rFonts w:ascii="Arial" w:cs="Arial" w:eastAsia="Arial" w:hAnsi="Arial"/>
                <w:sz w:val="14"/>
                <w:szCs w:val="14"/>
                <w:b w:val="1"/>
                <w:bCs w:val="1"/>
                <w:color w:val="auto"/>
              </w:rPr>
              <w:t>29</w:t>
            </w:r>
          </w:p>
        </w:tc>
      </w:tr>
      <w:tr>
        <w:trPr>
          <w:trHeight w:val="360"/>
        </w:trPr>
        <w:tc>
          <w:tcPr>
            <w:tcW w:w="6280" w:type="dxa"/>
            <w:vAlign w:val="bottom"/>
            <w:tcBorders>
              <w:bottom w:val="single" w:sz="8" w:color="9A9A9A"/>
            </w:tcBorders>
          </w:tcPr>
          <w:p>
            <w:pPr>
              <w:spacing w:after="0"/>
              <w:rPr>
                <w:sz w:val="24"/>
                <w:szCs w:val="24"/>
                <w:color w:val="auto"/>
              </w:rPr>
            </w:pPr>
          </w:p>
        </w:tc>
        <w:tc>
          <w:tcPr>
            <w:tcW w:w="4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right="200"/>
        <w:spacing w:after="0" w:line="319" w:lineRule="auto"/>
        <w:rPr>
          <w:sz w:val="20"/>
          <w:szCs w:val="20"/>
          <w:color w:val="auto"/>
        </w:rPr>
      </w:pPr>
      <w:r>
        <w:rPr>
          <w:rFonts w:ascii="Arial" w:cs="Arial" w:eastAsia="Arial" w:hAnsi="Arial"/>
          <w:sz w:val="16"/>
          <w:szCs w:val="16"/>
          <w:color w:val="auto"/>
        </w:rPr>
        <w:t>In fiscal year 2025, tax compliance services were provided to certain executive officers who were required to file tax returns in multiple jurisdictions in connection with their Company duties, which included Junkoo Kim. Such services consisted of the payment of consulting fees for tax compliance and filing services for the applicable executive, and in certain cases, related individuals with multi-country tax obligations.</w:t>
      </w:r>
    </w:p>
    <w:p>
      <w:pPr>
        <w:spacing w:after="0" w:line="103"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For Yongsoo Kim, the Company provided certain expatriate-related benefits for his secondment assignment pursuant to its formal expatriate support policy established under its long-term assignment regulations. Under the policy, eligible employees receive compensation on a net-of-tax basis, intended to approximate the after-tax income that would have been received in the home country. These benefits included a one-time initial settlement payment to facilitate relocation, as well as ongoing living allowances. The Company also provided temporary transportation assistance during the initial relocation period and subsequent long-term transportation assistance (which may include a Company-provided vehicle or partial reimbursement for a personally contracted vehicle lease), each subject to applicable caps established under the policy. To preserve the integrity of the net-of-tax arrangement, the Company applies its Tax Equalization Policy under which any incremental tax liabilities arising from assignment-related benefits are borne by the Company. The final gross-up amounts are calculated and determined following the conclusion of the applicable tax year to ensure precise alignment with actual tax obligations.</w:t>
      </w:r>
    </w:p>
    <w:p>
      <w:pPr>
        <w:spacing w:after="0" w:line="132" w:lineRule="exact"/>
        <w:rPr>
          <w:sz w:val="20"/>
          <w:szCs w:val="20"/>
          <w:color w:val="auto"/>
        </w:rPr>
      </w:pPr>
    </w:p>
    <w:p>
      <w:pPr>
        <w:ind w:right="40"/>
        <w:spacing w:after="0" w:line="339" w:lineRule="auto"/>
        <w:rPr>
          <w:sz w:val="20"/>
          <w:szCs w:val="20"/>
          <w:color w:val="auto"/>
        </w:rPr>
      </w:pPr>
      <w:r>
        <w:rPr>
          <w:rFonts w:ascii="Arial" w:cs="Arial" w:eastAsia="Arial" w:hAnsi="Arial"/>
          <w:sz w:val="16"/>
          <w:szCs w:val="16"/>
          <w:color w:val="auto"/>
        </w:rPr>
        <w:t>Yongsoo Kim also received assistance for legal and filing fees associated with U.S. immigration and permanent residency matters, which were necessary for him to perform his ongoing role and responsibilities in the United States.</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b w:val="1"/>
          <w:bCs w:val="1"/>
          <w:color w:val="00DC64"/>
        </w:rPr>
        <w:t>RISK MANAGEMENT</w:t>
      </w:r>
    </w:p>
    <w:p>
      <w:pPr>
        <w:spacing w:after="0" w:line="198"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Our compensation committee also regularly reviews the Company’s compensation policies and practices to determine whether they encourage excessive risk-taking, reviews, and discusses at least annually the relationship between risk management policies and practices and compensation and evaluates compensation policies and practices that could mitigate any such risk. Our compensation committee has specifically evaluated the Company’s compensation structure and practices and concluded that they are not reasonably likely to have a material adverse effect on our business. We believe that the Company’s compensation programs and policies mitigate risk by combining performance-based, long-term compensation elements with payouts that are highly correlated to the value delivered to stockholders. The combination of performance measures for annual bonuses and the equity compensation programs for our NEOs, as well as the multiyear vesting schedules for equity awards, are designed to encourage NEOs to maintain both a short and a long-term view with respect to Company performance.</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Clawback Policy</w:t>
      </w:r>
    </w:p>
    <w:p>
      <w:pPr>
        <w:spacing w:after="0" w:line="154"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The Compensation Committee adopted a clawback policy that complies with Nasdaq’s clawback listing standards, Section 10D of the Exchange Act and the rules promulgated thereunder (the “Clawback Policy”). In the event that we are required to prepare an accounting restatement of our financial statements due to our material noncompliance with any financial reporting requirement under the securities laws, the Clawback Policy requires that covered executives must reimburse us, or forfeit, any excess incentive-based compensation “received” (as defined in Section 10D of the Exchange Act) by such covered executive during the three completed fiscal years immediately preceding the date on which we are required to prepare the restatement. Executives covered by the Clawback Policy include our current and former executive officers, as determined by the Compensation Committee in accordance with Section 10D of the Exchange Act and the Nasdaq listing standards, and such other senior executives or employees who may from time to time be deemed subject to the Clawback Policy by the Compensation Committee.</w:t>
      </w:r>
    </w:p>
    <w:p>
      <w:pPr>
        <w:spacing w:after="0" w:line="119"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Incentive-based compensation subject to the Clawback Policy includes any compensation that is granted, earned or vested based wholly or in part on the attainment of a financial reporting measure. The amount subject to recovery is the excess of the incentive-based compensation “received” based on the erroneous data over the incentive-based compensation that would have been “received” had it been based on the restated results and is computed without regard to any taxes paid. The Clawback Policy will only apply to incentive-based compensation “received” after the effective date of the listing standards.</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The Clawback Policy is available as Exhibit 97.1 to the Company’s Annual Report on Form 10-K for the year ended December 31, 2025.</w:t>
      </w:r>
    </w:p>
    <w:p>
      <w:pPr>
        <w:spacing w:after="0" w:line="200" w:lineRule="exact"/>
        <w:rPr>
          <w:sz w:val="20"/>
          <w:szCs w:val="20"/>
          <w:color w:val="auto"/>
        </w:rPr>
      </w:pPr>
    </w:p>
    <w:p>
      <w:pPr>
        <w:spacing w:after="0" w:line="343" w:lineRule="exact"/>
        <w:rPr>
          <w:sz w:val="20"/>
          <w:szCs w:val="20"/>
          <w:color w:val="auto"/>
        </w:rPr>
      </w:pPr>
    </w:p>
    <w:p>
      <w:pPr>
        <w:ind w:left="20"/>
        <w:spacing w:after="0"/>
        <w:tabs>
          <w:tab w:leader="none" w:pos="5360" w:val="left"/>
        </w:tabs>
        <w:rPr>
          <w:sz w:val="20"/>
          <w:szCs w:val="20"/>
          <w:color w:val="auto"/>
        </w:rPr>
      </w:pPr>
      <w:r>
        <w:rPr>
          <w:rFonts w:ascii="Arial" w:cs="Arial" w:eastAsia="Arial" w:hAnsi="Arial"/>
          <w:sz w:val="14"/>
          <w:szCs w:val="14"/>
          <w:b w:val="1"/>
          <w:bCs w:val="1"/>
          <w:color w:val="auto"/>
        </w:rPr>
        <w:t>30</w:t>
      </w:r>
      <w:r>
        <w:rPr>
          <w:sz w:val="20"/>
          <w:szCs w:val="20"/>
          <w:color w:val="auto"/>
        </w:rPr>
        <w:tab/>
      </w:r>
      <w:r>
        <w:rPr>
          <w:sz w:val="1"/>
          <w:szCs w:val="1"/>
          <w:color w:val="auto"/>
        </w:rPr>
        <w:drawing>
          <wp:inline distT="0" distB="0" distL="0" distR="0">
            <wp:extent cx="282575" cy="274320"/>
            <wp:effectExtent l="0" t="0" r="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82575" cy="274320"/>
                    </a:xfrm>
                    <a:prstGeom prst="rect">
                      <a:avLst/>
                    </a:prstGeom>
                    <a:noFill/>
                    <a:ln>
                      <a:noFill/>
                    </a:ln>
                  </pic:spPr>
                </pic:pic>
              </a:graphicData>
            </a:graphic>
          </wp:inline>
        </w:drawing>
      </w:r>
      <w:r>
        <w:rPr>
          <w:rFonts w:ascii="Arial" w:cs="Arial" w:eastAsia="Arial" w:hAnsi="Arial"/>
          <w:sz w:val="14"/>
          <w:szCs w:val="14"/>
          <w:b w:val="1"/>
          <w:bCs w:val="1"/>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167005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20"/>
          <w:szCs w:val="20"/>
          <w:b w:val="1"/>
          <w:bCs w:val="1"/>
          <w:color w:val="00DC64"/>
        </w:rPr>
        <w:t>STOCK OWNERSHIP GUIDELINES</w:t>
      </w:r>
    </w:p>
    <w:p>
      <w:pPr>
        <w:spacing w:after="0" w:line="198" w:lineRule="exact"/>
        <w:rPr>
          <w:sz w:val="20"/>
          <w:szCs w:val="20"/>
          <w:color w:val="auto"/>
        </w:rPr>
      </w:pPr>
    </w:p>
    <w:p>
      <w:pPr>
        <w:spacing w:after="0" w:line="310" w:lineRule="auto"/>
        <w:rPr>
          <w:sz w:val="20"/>
          <w:szCs w:val="20"/>
          <w:color w:val="auto"/>
        </w:rPr>
      </w:pPr>
      <w:r>
        <w:rPr>
          <w:rFonts w:ascii="Arial" w:cs="Arial" w:eastAsia="Arial" w:hAnsi="Arial"/>
          <w:sz w:val="16"/>
          <w:szCs w:val="16"/>
          <w:color w:val="auto"/>
        </w:rPr>
        <w:t>In November 2025, the Company adopted Stock Ownership Guidelines to promote strong corporate governance practices and to further align the interests of its executives and non-employee directors with those of its shareholders. The guidelines are intended to reinforce a culture of equity ownership and support a long-term, shareholder-oriented perspective in leadership decision-making.</w:t>
      </w:r>
    </w:p>
    <w:p>
      <w:pPr>
        <w:spacing w:after="0" w:line="124" w:lineRule="exact"/>
        <w:rPr>
          <w:sz w:val="20"/>
          <w:szCs w:val="20"/>
          <w:color w:val="auto"/>
        </w:rPr>
      </w:pPr>
    </w:p>
    <w:p>
      <w:pPr>
        <w:ind w:right="40"/>
        <w:spacing w:after="0" w:line="304" w:lineRule="auto"/>
        <w:rPr>
          <w:sz w:val="20"/>
          <w:szCs w:val="20"/>
          <w:color w:val="auto"/>
        </w:rPr>
      </w:pPr>
      <w:r>
        <w:rPr>
          <w:rFonts w:ascii="Arial" w:cs="Arial" w:eastAsia="Arial" w:hAnsi="Arial"/>
          <w:sz w:val="16"/>
          <w:szCs w:val="16"/>
          <w:color w:val="auto"/>
        </w:rPr>
        <w:t>The guidelines apply to the Company’s Section 16 officers and non-employee directors. Under the guidelines, the Chief Executive Officer is expected to hold Company stock with a value equal to at least five times base salary, and other Section 16 officers are expected to hold Company stock with a value equal to at least three times their respective base salaries. Non-employee directors are expected to hold Company stock with a value equal to at least three times the annual Board cash retainer. The Company conducted an evaluation upon adoption of the guidelines in 2025, and all covered executives and non-employee directors satisfied the applicable ownership requirements at that time.</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00DC64"/>
        </w:rPr>
        <w:t>AGREEMENTS WITH NAMED EXECUTIVE OFFICERS</w:t>
      </w:r>
    </w:p>
    <w:p>
      <w:pPr>
        <w:spacing w:after="0" w:line="198" w:lineRule="exact"/>
        <w:rPr>
          <w:sz w:val="20"/>
          <w:szCs w:val="20"/>
          <w:color w:val="auto"/>
        </w:rPr>
      </w:pPr>
    </w:p>
    <w:p>
      <w:pPr>
        <w:ind w:right="40"/>
        <w:spacing w:after="0" w:line="300" w:lineRule="auto"/>
        <w:rPr>
          <w:sz w:val="20"/>
          <w:szCs w:val="20"/>
          <w:color w:val="auto"/>
        </w:rPr>
      </w:pPr>
      <w:r>
        <w:rPr>
          <w:rFonts w:ascii="Arial" w:cs="Arial" w:eastAsia="Arial" w:hAnsi="Arial"/>
          <w:sz w:val="16"/>
          <w:szCs w:val="16"/>
          <w:color w:val="auto"/>
        </w:rPr>
        <w:t>We believe that a strong, experienced management team is essential to operating the Company in the best interests of the Company and our stockholders. We recognize that the possibility of a change in control could arise and that such a possibility could result in the departure or distraction of members of the management team to the detriment of the Company and our stockholders. We have entered into employment agreements with Junkoo Kim and David J. Lee and Business Delegation Agreements with all of our NEOs (excluding Mr. Lee) in order to minimize employment security concerns arising in the course of negotiating and completing a significant transaction. For a description of the terms of such employment agreement and such Business Delegation Agreements, please see the section below entitled “—Narrative Description to the Summary Compensation Table and the Grants of Plan-Based Awards Table for the 2025 Fiscal Year.” For a more complete description of our obligations under the employment agreements in the event of a termination of employment or change in control, please see the section below entitled “—Potential Payments Upon Termination or Change in Control.”</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Option Awards</w:t>
      </w:r>
    </w:p>
    <w:p>
      <w:pPr>
        <w:spacing w:after="0" w:line="154"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In response to Item 402(x)(1) of Regulation S-K, following our IPO, the Company does not intend to grant new awards of stock options, stock appreciation rights, or similar option-like instruments. Accordingly, the Company has no specific policy or practice on the timing of awards of such options in relation to the disclosure of material nonpublic information by the Company. In the event the Company determines to grant new awards of such options, the Board will evaluate the appropriate steps to take in relation to the foregoing.</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Tax and Accounting Considerations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The Compensation Committee and the Company review and consider the tax, accounting, and securities law implications of our compensation programs.</w:t>
      </w:r>
    </w:p>
    <w:p>
      <w:pPr>
        <w:spacing w:after="0" w:line="208" w:lineRule="exact"/>
        <w:rPr>
          <w:sz w:val="20"/>
          <w:szCs w:val="20"/>
          <w:color w:val="auto"/>
        </w:rPr>
      </w:pPr>
    </w:p>
    <w:p>
      <w:pPr>
        <w:ind w:right="40"/>
        <w:spacing w:after="0" w:line="303" w:lineRule="auto"/>
        <w:rPr>
          <w:sz w:val="20"/>
          <w:szCs w:val="20"/>
          <w:color w:val="auto"/>
        </w:rPr>
      </w:pPr>
      <w:r>
        <w:rPr>
          <w:rFonts w:ascii="Arial" w:cs="Arial" w:eastAsia="Arial" w:hAnsi="Arial"/>
          <w:sz w:val="16"/>
          <w:szCs w:val="16"/>
          <w:b w:val="1"/>
          <w:bCs w:val="1"/>
          <w:i w:val="1"/>
          <w:iCs w:val="1"/>
          <w:color w:val="auto"/>
        </w:rPr>
        <w:t xml:space="preserve">Section 162(m). </w:t>
      </w:r>
      <w:r>
        <w:rPr>
          <w:rFonts w:ascii="Arial" w:cs="Arial" w:eastAsia="Arial" w:hAnsi="Arial"/>
          <w:sz w:val="16"/>
          <w:szCs w:val="16"/>
          <w:color w:val="auto"/>
        </w:rPr>
        <w:t>When setting executive compensation, we consider many factors, such as attracting and retaining executives and providing appropriate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performance incentives. We also consider the after-tax cost to the Company in establishing executive compensation programs, both individually and in the aggregate, but tax deductibility is not our sole consideration. Section 162(m) of the Internal Revenue Code of 1986, as amended (the “Code”), generally disallows a federal income tax deduction to public companies for annual compensation over $1 million (per individual) paid to their chief executive officer, chief financial officer and the next three most highly compensated executive officers (as well as certain other officers who were covered employees in years after 2016). The 2017 Tax Act eliminated most of the exceptions from the $1 million deduction limit, except for certain arrangements in place as of November 2, 2017. As a result, compensation payable to our NEOs in excess of $1 million per person in a year will generally not be fully deductible.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305435</wp:posOffset>
            </wp:positionV>
            <wp:extent cx="282575" cy="2743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82575"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280" w:type="dxa"/>
            <w:vAlign w:val="bottom"/>
          </w:tcPr>
          <w:p>
            <w:pPr>
              <w:ind w:left="20"/>
              <w:spacing w:after="0"/>
              <w:rPr>
                <w:sz w:val="20"/>
                <w:szCs w:val="20"/>
                <w:color w:val="auto"/>
              </w:rPr>
            </w:pPr>
            <w:r>
              <w:rPr>
                <w:rFonts w:ascii="Arial" w:cs="Arial" w:eastAsia="Arial" w:hAnsi="Arial"/>
                <w:sz w:val="14"/>
                <w:szCs w:val="14"/>
                <w:b w:val="1"/>
                <w:bCs w:val="1"/>
                <w:color w:val="auto"/>
              </w:rPr>
              <w:t>2026 Proxy Statement</w:t>
            </w:r>
          </w:p>
        </w:tc>
        <w:tc>
          <w:tcPr>
            <w:tcW w:w="4960" w:type="dxa"/>
            <w:vAlign w:val="bottom"/>
          </w:tcPr>
          <w:p>
            <w:pPr>
              <w:jc w:val="right"/>
              <w:spacing w:after="0"/>
              <w:rPr>
                <w:sz w:val="20"/>
                <w:szCs w:val="20"/>
                <w:color w:val="auto"/>
              </w:rPr>
            </w:pPr>
            <w:r>
              <w:rPr>
                <w:rFonts w:ascii="Arial" w:cs="Arial" w:eastAsia="Arial" w:hAnsi="Arial"/>
                <w:sz w:val="14"/>
                <w:szCs w:val="14"/>
                <w:b w:val="1"/>
                <w:bCs w:val="1"/>
                <w:color w:val="auto"/>
              </w:rPr>
              <w:t>31</w:t>
            </w:r>
          </w:p>
        </w:tc>
      </w:tr>
      <w:tr>
        <w:trPr>
          <w:trHeight w:val="373"/>
        </w:trPr>
        <w:tc>
          <w:tcPr>
            <w:tcW w:w="6280" w:type="dxa"/>
            <w:vAlign w:val="bottom"/>
            <w:tcBorders>
              <w:bottom w:val="single" w:sz="8" w:color="9A9A9A"/>
            </w:tcBorders>
          </w:tcPr>
          <w:p>
            <w:pPr>
              <w:spacing w:after="0"/>
              <w:rPr>
                <w:sz w:val="24"/>
                <w:szCs w:val="24"/>
                <w:color w:val="auto"/>
              </w:rPr>
            </w:pPr>
          </w:p>
        </w:tc>
        <w:tc>
          <w:tcPr>
            <w:tcW w:w="4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right="20"/>
        <w:spacing w:after="0" w:line="303" w:lineRule="auto"/>
        <w:rPr>
          <w:sz w:val="20"/>
          <w:szCs w:val="20"/>
          <w:color w:val="auto"/>
        </w:rPr>
      </w:pPr>
      <w:r>
        <w:rPr>
          <w:rFonts w:ascii="Arial" w:cs="Arial" w:eastAsia="Arial" w:hAnsi="Arial"/>
          <w:sz w:val="16"/>
          <w:szCs w:val="16"/>
          <w:b w:val="1"/>
          <w:bCs w:val="1"/>
          <w:i w:val="1"/>
          <w:iCs w:val="1"/>
          <w:color w:val="auto"/>
        </w:rPr>
        <w:t xml:space="preserve">Section 409A. </w:t>
      </w:r>
      <w:r>
        <w:rPr>
          <w:rFonts w:ascii="Arial" w:cs="Arial" w:eastAsia="Arial" w:hAnsi="Arial"/>
          <w:sz w:val="16"/>
          <w:szCs w:val="16"/>
          <w:color w:val="auto"/>
        </w:rPr>
        <w:t>Section 409A of the Code affects the manner by which deferred compensation opportunities are offered to our employees because Section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409A requires, among other things, that “non-qualified deferred compensation” be structured in a manner that limits employees’ abilities to accelerate or further defer certain kinds of deferred compensation. We intend to operate our existing compensation arrangements that are covered by Section 409A in accordance with the applicable rules thereunder, and we will continue to review and amend our compensation arrangements where necessary to comply with Section 409A. To the extent applicable, our compensation arrangements are structured and interpreted to comply with, or be exempt from, Section 409A and the regulations and other interpretive guidance that may be issued under Section 409A.</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00DC64"/>
        </w:rPr>
        <w:t>COMPENSATION COMMITTEE REPORT</w:t>
      </w:r>
    </w:p>
    <w:p>
      <w:pPr>
        <w:spacing w:after="0" w:line="185" w:lineRule="exact"/>
        <w:rPr>
          <w:sz w:val="20"/>
          <w:szCs w:val="20"/>
          <w:color w:val="auto"/>
        </w:rPr>
      </w:pPr>
    </w:p>
    <w:p>
      <w:pPr>
        <w:ind w:right="300"/>
        <w:spacing w:after="0" w:line="319" w:lineRule="auto"/>
        <w:rPr>
          <w:sz w:val="20"/>
          <w:szCs w:val="20"/>
          <w:color w:val="auto"/>
        </w:rPr>
      </w:pPr>
      <w:r>
        <w:rPr>
          <w:rFonts w:ascii="Arial" w:cs="Arial" w:eastAsia="Arial" w:hAnsi="Arial"/>
          <w:sz w:val="16"/>
          <w:szCs w:val="16"/>
          <w:color w:val="auto"/>
        </w:rPr>
        <w:t>The Compensation Committee has reviewed and discussed with management this Compensation Discussion and Analysis required by Item 402(b) of Regulation S-K. Based on the review and discussions, the Compensation Committee recommended to the Board that this Compensation Discussion and Analysis be included in this Proxy Statement.</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Members of the Compensation Committee during fiscal year 2025 include:</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Haejin Lee,</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Nancy Dubuc, and</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Namsun Kim.</w:t>
      </w:r>
    </w:p>
    <w:p>
      <w:pPr>
        <w:spacing w:after="0" w:line="200" w:lineRule="exact"/>
        <w:rPr>
          <w:sz w:val="20"/>
          <w:szCs w:val="20"/>
          <w:color w:val="auto"/>
        </w:rPr>
      </w:pPr>
    </w:p>
    <w:p>
      <w:pPr>
        <w:spacing w:after="0" w:line="329" w:lineRule="exact"/>
        <w:rPr>
          <w:sz w:val="20"/>
          <w:szCs w:val="20"/>
          <w:color w:val="auto"/>
        </w:rPr>
      </w:pPr>
    </w:p>
    <w:p>
      <w:pPr>
        <w:ind w:left="20"/>
        <w:spacing w:after="0"/>
        <w:tabs>
          <w:tab w:leader="none" w:pos="5360" w:val="left"/>
        </w:tabs>
        <w:rPr>
          <w:sz w:val="20"/>
          <w:szCs w:val="20"/>
          <w:color w:val="auto"/>
        </w:rPr>
      </w:pPr>
      <w:r>
        <w:rPr>
          <w:rFonts w:ascii="Arial" w:cs="Arial" w:eastAsia="Arial" w:hAnsi="Arial"/>
          <w:sz w:val="14"/>
          <w:szCs w:val="14"/>
          <w:b w:val="1"/>
          <w:bCs w:val="1"/>
          <w:color w:val="auto"/>
        </w:rPr>
        <w:t>32</w:t>
      </w:r>
      <w:r>
        <w:rPr>
          <w:sz w:val="20"/>
          <w:szCs w:val="20"/>
          <w:color w:val="auto"/>
        </w:rPr>
        <w:tab/>
      </w:r>
      <w:r>
        <w:rPr>
          <w:sz w:val="1"/>
          <w:szCs w:val="1"/>
          <w:color w:val="auto"/>
        </w:rPr>
        <w:drawing>
          <wp:inline distT="0" distB="0" distL="0" distR="0">
            <wp:extent cx="282575" cy="274320"/>
            <wp:effectExtent l="0" t="0" r="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82575" cy="274320"/>
                    </a:xfrm>
                    <a:prstGeom prst="rect">
                      <a:avLst/>
                    </a:prstGeom>
                    <a:noFill/>
                    <a:ln>
                      <a:noFill/>
                    </a:ln>
                  </pic:spPr>
                </pic:pic>
              </a:graphicData>
            </a:graphic>
          </wp:inline>
        </w:drawing>
      </w:r>
      <w:r>
        <w:rPr>
          <w:rFonts w:ascii="Arial" w:cs="Arial" w:eastAsia="Arial" w:hAnsi="Arial"/>
          <w:sz w:val="14"/>
          <w:szCs w:val="14"/>
          <w:b w:val="1"/>
          <w:bCs w:val="1"/>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6" w:name="page37"/>
    <w:bookmarkEnd w:id="36"/>
    <w:p>
      <w:pPr>
        <w:ind w:left="10120"/>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20"/>
          <w:szCs w:val="20"/>
          <w:b w:val="1"/>
          <w:bCs w:val="1"/>
          <w:color w:val="00DC64"/>
        </w:rPr>
        <w:t>FISCAL YEAR 2025 SUMMARY COMPENSATION TABLE</w:t>
      </w:r>
    </w:p>
    <w:p>
      <w:pPr>
        <w:spacing w:after="0" w:line="198" w:lineRule="exact"/>
        <w:rPr>
          <w:sz w:val="20"/>
          <w:szCs w:val="20"/>
          <w:color w:val="auto"/>
        </w:rPr>
      </w:pPr>
    </w:p>
    <w:p>
      <w:pPr>
        <w:ind w:right="680"/>
        <w:spacing w:after="0" w:line="321" w:lineRule="auto"/>
        <w:rPr>
          <w:sz w:val="20"/>
          <w:szCs w:val="20"/>
          <w:color w:val="auto"/>
        </w:rPr>
      </w:pPr>
      <w:r>
        <w:rPr>
          <w:rFonts w:ascii="Arial" w:cs="Arial" w:eastAsia="Arial" w:hAnsi="Arial"/>
          <w:sz w:val="16"/>
          <w:szCs w:val="16"/>
          <w:color w:val="auto"/>
        </w:rPr>
        <w:t>The following table sets forth certain information with respect to compensation earned by, awarded to or paid to our NEOs for the fiscal years ended December 31, 2025, December 31, 2024, and December 31, 2023.</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70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Name and</w:t>
            </w:r>
          </w:p>
        </w:tc>
        <w:tc>
          <w:tcPr>
            <w:tcW w:w="800" w:type="dxa"/>
            <w:vAlign w:val="bottom"/>
          </w:tcPr>
          <w:p>
            <w:pPr>
              <w:spacing w:after="0"/>
              <w:rPr>
                <w:sz w:val="15"/>
                <w:szCs w:val="15"/>
                <w:color w:val="auto"/>
              </w:rPr>
            </w:pPr>
          </w:p>
        </w:tc>
        <w:tc>
          <w:tcPr>
            <w:tcW w:w="12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Salary</w:t>
            </w:r>
            <w:r>
              <w:rPr>
                <w:rFonts w:ascii="Arial" w:cs="Arial" w:eastAsia="Arial" w:hAnsi="Arial"/>
                <w:sz w:val="18"/>
                <w:szCs w:val="18"/>
                <w:b w:val="1"/>
                <w:bCs w:val="1"/>
                <w:color w:val="auto"/>
                <w:vertAlign w:val="superscript"/>
              </w:rPr>
              <w:t>(1)</w:t>
            </w:r>
          </w:p>
        </w:tc>
        <w:tc>
          <w:tcPr>
            <w:tcW w:w="104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Bonus</w:t>
            </w:r>
            <w:r>
              <w:rPr>
                <w:rFonts w:ascii="Arial" w:cs="Arial" w:eastAsia="Arial" w:hAnsi="Arial"/>
                <w:sz w:val="18"/>
                <w:szCs w:val="18"/>
                <w:b w:val="1"/>
                <w:bCs w:val="1"/>
                <w:color w:val="auto"/>
                <w:vertAlign w:val="superscript"/>
              </w:rPr>
              <w:t>(2)</w:t>
            </w:r>
          </w:p>
        </w:tc>
        <w:tc>
          <w:tcPr>
            <w:tcW w:w="130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Stock Awards</w:t>
            </w:r>
            <w:r>
              <w:rPr>
                <w:rFonts w:ascii="Arial" w:cs="Arial" w:eastAsia="Arial" w:hAnsi="Arial"/>
                <w:sz w:val="18"/>
                <w:szCs w:val="18"/>
                <w:b w:val="1"/>
                <w:bCs w:val="1"/>
                <w:color w:val="auto"/>
                <w:vertAlign w:val="superscript"/>
              </w:rPr>
              <w:t>(3)</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Option</w:t>
            </w:r>
          </w:p>
        </w:tc>
        <w:tc>
          <w:tcPr>
            <w:tcW w:w="1700" w:type="dxa"/>
            <w:vAlign w:val="bottom"/>
          </w:tcPr>
          <w:p>
            <w:pPr>
              <w:jc w:val="right"/>
              <w:ind w:right="128"/>
              <w:spacing w:after="0"/>
              <w:rPr>
                <w:sz w:val="20"/>
                <w:szCs w:val="20"/>
                <w:color w:val="auto"/>
              </w:rPr>
            </w:pPr>
            <w:r>
              <w:rPr>
                <w:rFonts w:ascii="Arial" w:cs="Arial" w:eastAsia="Arial" w:hAnsi="Arial"/>
                <w:sz w:val="14"/>
                <w:szCs w:val="14"/>
                <w:b w:val="1"/>
                <w:bCs w:val="1"/>
                <w:color w:val="auto"/>
              </w:rPr>
              <w:t>Non-Equity Incentive</w:t>
            </w:r>
          </w:p>
        </w:tc>
        <w:tc>
          <w:tcPr>
            <w:tcW w:w="1460" w:type="dxa"/>
            <w:vAlign w:val="bottom"/>
          </w:tcPr>
          <w:p>
            <w:pPr>
              <w:jc w:val="right"/>
              <w:ind w:right="68"/>
              <w:spacing w:after="0"/>
              <w:rPr>
                <w:sz w:val="20"/>
                <w:szCs w:val="20"/>
                <w:color w:val="auto"/>
              </w:rPr>
            </w:pPr>
            <w:r>
              <w:rPr>
                <w:rFonts w:ascii="Arial" w:cs="Arial" w:eastAsia="Arial" w:hAnsi="Arial"/>
                <w:sz w:val="14"/>
                <w:szCs w:val="14"/>
                <w:b w:val="1"/>
                <w:bCs w:val="1"/>
                <w:color w:val="auto"/>
              </w:rPr>
              <w:t>All Other</w:t>
            </w:r>
          </w:p>
        </w:tc>
        <w:tc>
          <w:tcPr>
            <w:tcW w:w="108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4"/>
        </w:trPr>
        <w:tc>
          <w:tcPr>
            <w:tcW w:w="1700" w:type="dxa"/>
            <w:vAlign w:val="bottom"/>
            <w:vMerge w:val="continue"/>
          </w:tcPr>
          <w:p>
            <w:pPr>
              <w:spacing w:after="0"/>
              <w:rPr>
                <w:sz w:val="14"/>
                <w:szCs w:val="14"/>
                <w:color w:val="auto"/>
              </w:rPr>
            </w:pPr>
          </w:p>
        </w:tc>
        <w:tc>
          <w:tcPr>
            <w:tcW w:w="80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b w:val="1"/>
                <w:bCs w:val="1"/>
                <w:color w:val="auto"/>
              </w:rPr>
              <w:t>Awards</w:t>
            </w:r>
          </w:p>
        </w:tc>
        <w:tc>
          <w:tcPr>
            <w:tcW w:w="1700" w:type="dxa"/>
            <w:vAlign w:val="bottom"/>
          </w:tcPr>
          <w:p>
            <w:pPr>
              <w:jc w:val="right"/>
              <w:ind w:right="128"/>
              <w:spacing w:after="0" w:line="164" w:lineRule="exact"/>
              <w:rPr>
                <w:sz w:val="20"/>
                <w:szCs w:val="20"/>
                <w:color w:val="auto"/>
              </w:rPr>
            </w:pPr>
            <w:r>
              <w:rPr>
                <w:rFonts w:ascii="Arial" w:cs="Arial" w:eastAsia="Arial" w:hAnsi="Arial"/>
                <w:sz w:val="14"/>
                <w:szCs w:val="14"/>
                <w:b w:val="1"/>
                <w:bCs w:val="1"/>
                <w:color w:val="auto"/>
              </w:rPr>
              <w:t>Plan Compensation</w:t>
            </w:r>
            <w:r>
              <w:rPr>
                <w:rFonts w:ascii="Arial" w:cs="Arial" w:eastAsia="Arial" w:hAnsi="Arial"/>
                <w:sz w:val="18"/>
                <w:szCs w:val="18"/>
                <w:b w:val="1"/>
                <w:bCs w:val="1"/>
                <w:color w:val="auto"/>
                <w:vertAlign w:val="superscript"/>
              </w:rPr>
              <w:t>(4)</w:t>
            </w:r>
          </w:p>
        </w:tc>
        <w:tc>
          <w:tcPr>
            <w:tcW w:w="1460" w:type="dxa"/>
            <w:vAlign w:val="bottom"/>
          </w:tcPr>
          <w:p>
            <w:pPr>
              <w:jc w:val="right"/>
              <w:ind w:right="68"/>
              <w:spacing w:after="0" w:line="164" w:lineRule="exact"/>
              <w:rPr>
                <w:sz w:val="20"/>
                <w:szCs w:val="20"/>
                <w:color w:val="auto"/>
              </w:rPr>
            </w:pPr>
            <w:r>
              <w:rPr>
                <w:rFonts w:ascii="Arial" w:cs="Arial" w:eastAsia="Arial" w:hAnsi="Arial"/>
                <w:sz w:val="14"/>
                <w:szCs w:val="14"/>
                <w:b w:val="1"/>
                <w:bCs w:val="1"/>
                <w:color w:val="auto"/>
              </w:rPr>
              <w:t>Compensation</w:t>
            </w:r>
            <w:r>
              <w:rPr>
                <w:rFonts w:ascii="Arial" w:cs="Arial" w:eastAsia="Arial" w:hAnsi="Arial"/>
                <w:sz w:val="18"/>
                <w:szCs w:val="18"/>
                <w:b w:val="1"/>
                <w:bCs w:val="1"/>
                <w:color w:val="auto"/>
                <w:vertAlign w:val="superscript"/>
              </w:rPr>
              <w:t>(5)</w:t>
            </w: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700" w:type="dxa"/>
            <w:vAlign w:val="bottom"/>
          </w:tcPr>
          <w:p>
            <w:pPr>
              <w:ind w:left="100"/>
              <w:spacing w:after="0"/>
              <w:rPr>
                <w:sz w:val="20"/>
                <w:szCs w:val="20"/>
                <w:color w:val="auto"/>
              </w:rPr>
            </w:pPr>
            <w:r>
              <w:rPr>
                <w:rFonts w:ascii="Arial" w:cs="Arial" w:eastAsia="Arial" w:hAnsi="Arial"/>
                <w:sz w:val="14"/>
                <w:szCs w:val="14"/>
                <w:b w:val="1"/>
                <w:bCs w:val="1"/>
                <w:color w:val="auto"/>
              </w:rPr>
              <w:t>Principal Position</w:t>
            </w:r>
          </w:p>
        </w:tc>
        <w:tc>
          <w:tcPr>
            <w:tcW w:w="800" w:type="dxa"/>
            <w:vAlign w:val="bottom"/>
          </w:tcPr>
          <w:p>
            <w:pPr>
              <w:ind w:left="240"/>
              <w:spacing w:after="0"/>
              <w:rPr>
                <w:sz w:val="20"/>
                <w:szCs w:val="20"/>
                <w:color w:val="auto"/>
              </w:rPr>
            </w:pPr>
            <w:r>
              <w:rPr>
                <w:rFonts w:ascii="Arial" w:cs="Arial" w:eastAsia="Arial" w:hAnsi="Arial"/>
                <w:sz w:val="14"/>
                <w:szCs w:val="14"/>
                <w:b w:val="1"/>
                <w:bCs w:val="1"/>
                <w:color w:val="auto"/>
              </w:rPr>
              <w:t>Year</w:t>
            </w:r>
          </w:p>
        </w:tc>
        <w:tc>
          <w:tcPr>
            <w:tcW w:w="12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30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70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146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97"/>
        </w:trPr>
        <w:tc>
          <w:tcPr>
            <w:tcW w:w="1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5"/>
        </w:trPr>
        <w:tc>
          <w:tcPr>
            <w:tcW w:w="1700" w:type="dxa"/>
            <w:vAlign w:val="bottom"/>
            <w:shd w:val="clear" w:color="auto" w:fill="F1F2F2"/>
          </w:tcPr>
          <w:p>
            <w:pPr>
              <w:spacing w:after="0"/>
              <w:rPr>
                <w:sz w:val="23"/>
                <w:szCs w:val="23"/>
                <w:color w:val="auto"/>
              </w:rPr>
            </w:pPr>
          </w:p>
        </w:tc>
        <w:tc>
          <w:tcPr>
            <w:tcW w:w="800" w:type="dxa"/>
            <w:vAlign w:val="bottom"/>
            <w:shd w:val="clear" w:color="auto" w:fill="F1F2F2"/>
          </w:tcPr>
          <w:p>
            <w:pPr>
              <w:ind w:left="240"/>
              <w:spacing w:after="0"/>
              <w:rPr>
                <w:sz w:val="20"/>
                <w:szCs w:val="20"/>
                <w:color w:val="auto"/>
              </w:rPr>
            </w:pPr>
            <w:r>
              <w:rPr>
                <w:rFonts w:ascii="Arial" w:cs="Arial" w:eastAsia="Arial" w:hAnsi="Arial"/>
                <w:sz w:val="14"/>
                <w:szCs w:val="14"/>
                <w:color w:val="auto"/>
              </w:rPr>
              <w:t>2025</w:t>
            </w:r>
          </w:p>
        </w:tc>
        <w:tc>
          <w:tcPr>
            <w:tcW w:w="1040" w:type="dxa"/>
            <w:vAlign w:val="bottom"/>
            <w:shd w:val="clear" w:color="auto" w:fill="F1F2F2"/>
          </w:tcPr>
          <w:p>
            <w:pPr>
              <w:jc w:val="right"/>
              <w:spacing w:after="0"/>
              <w:rPr>
                <w:sz w:val="20"/>
                <w:szCs w:val="20"/>
                <w:color w:val="auto"/>
              </w:rPr>
            </w:pPr>
            <w:r>
              <w:rPr>
                <w:rFonts w:ascii="Arial" w:cs="Arial" w:eastAsia="Arial" w:hAnsi="Arial"/>
                <w:sz w:val="14"/>
                <w:szCs w:val="14"/>
                <w:color w:val="auto"/>
              </w:rPr>
              <w:t>584,537</w:t>
            </w:r>
          </w:p>
        </w:tc>
        <w:tc>
          <w:tcPr>
            <w:tcW w:w="220" w:type="dxa"/>
            <w:vAlign w:val="bottom"/>
            <w:shd w:val="clear" w:color="auto" w:fill="F1F2F2"/>
          </w:tcPr>
          <w:p>
            <w:pPr>
              <w:spacing w:after="0"/>
              <w:rPr>
                <w:sz w:val="23"/>
                <w:szCs w:val="23"/>
                <w:color w:val="auto"/>
              </w:rPr>
            </w:pPr>
          </w:p>
        </w:tc>
        <w:tc>
          <w:tcPr>
            <w:tcW w:w="1040" w:type="dxa"/>
            <w:vAlign w:val="bottom"/>
            <w:shd w:val="clear" w:color="auto" w:fill="F1F2F2"/>
          </w:tcPr>
          <w:p>
            <w:pPr>
              <w:jc w:val="right"/>
              <w:ind w:right="48"/>
              <w:spacing w:after="0"/>
              <w:rPr>
                <w:sz w:val="20"/>
                <w:szCs w:val="20"/>
                <w:color w:val="auto"/>
              </w:rPr>
            </w:pPr>
            <w:r>
              <w:rPr>
                <w:rFonts w:ascii="Arial" w:cs="Arial" w:eastAsia="Arial" w:hAnsi="Arial"/>
                <w:sz w:val="14"/>
                <w:szCs w:val="14"/>
                <w:color w:val="auto"/>
              </w:rPr>
              <w:t>—</w:t>
            </w:r>
          </w:p>
        </w:tc>
        <w:tc>
          <w:tcPr>
            <w:tcW w:w="1300" w:type="dxa"/>
            <w:vAlign w:val="bottom"/>
            <w:shd w:val="clear" w:color="auto" w:fill="F1F2F2"/>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shd w:val="clear" w:color="auto" w:fill="F1F2F2"/>
          </w:tcPr>
          <w:p>
            <w:pPr>
              <w:jc w:val="right"/>
              <w:ind w:right="8"/>
              <w:spacing w:after="0"/>
              <w:rPr>
                <w:sz w:val="20"/>
                <w:szCs w:val="20"/>
                <w:color w:val="auto"/>
              </w:rPr>
            </w:pPr>
            <w:r>
              <w:rPr>
                <w:rFonts w:ascii="Arial" w:cs="Arial" w:eastAsia="Arial" w:hAnsi="Arial"/>
                <w:sz w:val="14"/>
                <w:szCs w:val="14"/>
                <w:color w:val="auto"/>
              </w:rPr>
              <w:t>—</w:t>
            </w:r>
          </w:p>
        </w:tc>
        <w:tc>
          <w:tcPr>
            <w:tcW w:w="1700" w:type="dxa"/>
            <w:vAlign w:val="bottom"/>
            <w:shd w:val="clear" w:color="auto" w:fill="F1F2F2"/>
          </w:tcPr>
          <w:p>
            <w:pPr>
              <w:jc w:val="right"/>
              <w:ind w:right="188"/>
              <w:spacing w:after="0"/>
              <w:rPr>
                <w:sz w:val="20"/>
                <w:szCs w:val="20"/>
                <w:color w:val="auto"/>
              </w:rPr>
            </w:pPr>
            <w:r>
              <w:rPr>
                <w:rFonts w:ascii="Arial" w:cs="Arial" w:eastAsia="Arial" w:hAnsi="Arial"/>
                <w:sz w:val="14"/>
                <w:szCs w:val="14"/>
                <w:color w:val="auto"/>
              </w:rPr>
              <w:t>285,000</w:t>
            </w:r>
          </w:p>
        </w:tc>
        <w:tc>
          <w:tcPr>
            <w:tcW w:w="1460" w:type="dxa"/>
            <w:vAlign w:val="bottom"/>
            <w:shd w:val="clear" w:color="auto" w:fill="F1F2F2"/>
          </w:tcPr>
          <w:p>
            <w:pPr>
              <w:jc w:val="right"/>
              <w:ind w:right="108"/>
              <w:spacing w:after="0"/>
              <w:rPr>
                <w:sz w:val="20"/>
                <w:szCs w:val="20"/>
                <w:color w:val="auto"/>
              </w:rPr>
            </w:pPr>
            <w:r>
              <w:rPr>
                <w:rFonts w:ascii="Arial" w:cs="Arial" w:eastAsia="Arial" w:hAnsi="Arial"/>
                <w:sz w:val="14"/>
                <w:szCs w:val="14"/>
                <w:color w:val="auto"/>
              </w:rPr>
              <w:t>66,045</w:t>
            </w:r>
          </w:p>
        </w:tc>
        <w:tc>
          <w:tcPr>
            <w:tcW w:w="1080" w:type="dxa"/>
            <w:vAlign w:val="bottom"/>
            <w:shd w:val="clear" w:color="auto" w:fill="F1F2F2"/>
          </w:tcPr>
          <w:p>
            <w:pPr>
              <w:jc w:val="right"/>
              <w:ind w:right="148"/>
              <w:spacing w:after="0"/>
              <w:rPr>
                <w:sz w:val="20"/>
                <w:szCs w:val="20"/>
                <w:color w:val="auto"/>
              </w:rPr>
            </w:pPr>
            <w:r>
              <w:rPr>
                <w:rFonts w:ascii="Arial" w:cs="Arial" w:eastAsia="Arial" w:hAnsi="Arial"/>
                <w:sz w:val="14"/>
                <w:szCs w:val="14"/>
                <w:color w:val="auto"/>
              </w:rPr>
              <w:t>935,582</w:t>
            </w:r>
          </w:p>
        </w:tc>
        <w:tc>
          <w:tcPr>
            <w:tcW w:w="0" w:type="dxa"/>
            <w:vAlign w:val="bottom"/>
          </w:tcPr>
          <w:p>
            <w:pPr>
              <w:spacing w:after="0"/>
              <w:rPr>
                <w:sz w:val="1"/>
                <w:szCs w:val="1"/>
                <w:color w:val="auto"/>
              </w:rPr>
            </w:pPr>
          </w:p>
        </w:tc>
      </w:tr>
      <w:tr>
        <w:trPr>
          <w:trHeight w:val="255"/>
        </w:trPr>
        <w:tc>
          <w:tcPr>
            <w:tcW w:w="1700" w:type="dxa"/>
            <w:vAlign w:val="bottom"/>
            <w:shd w:val="clear" w:color="auto" w:fill="F1F2F2"/>
          </w:tcPr>
          <w:p>
            <w:pPr>
              <w:ind w:left="100"/>
              <w:spacing w:after="0"/>
              <w:rPr>
                <w:sz w:val="20"/>
                <w:szCs w:val="20"/>
                <w:color w:val="auto"/>
              </w:rPr>
            </w:pPr>
            <w:r>
              <w:rPr>
                <w:rFonts w:ascii="Arial" w:cs="Arial" w:eastAsia="Arial" w:hAnsi="Arial"/>
                <w:sz w:val="14"/>
                <w:szCs w:val="14"/>
                <w:b w:val="1"/>
                <w:bCs w:val="1"/>
                <w:color w:val="auto"/>
              </w:rPr>
              <w:t>Junkoo Kim</w:t>
            </w:r>
          </w:p>
        </w:tc>
        <w:tc>
          <w:tcPr>
            <w:tcW w:w="800" w:type="dxa"/>
            <w:vAlign w:val="bottom"/>
            <w:vMerge w:val="restart"/>
            <w:shd w:val="clear" w:color="auto" w:fill="F1F2F2"/>
          </w:tcPr>
          <w:p>
            <w:pPr>
              <w:ind w:left="240"/>
              <w:spacing w:after="0"/>
              <w:rPr>
                <w:sz w:val="20"/>
                <w:szCs w:val="20"/>
                <w:color w:val="auto"/>
              </w:rPr>
            </w:pPr>
            <w:r>
              <w:rPr>
                <w:rFonts w:ascii="Arial" w:cs="Arial" w:eastAsia="Arial" w:hAnsi="Arial"/>
                <w:sz w:val="14"/>
                <w:szCs w:val="14"/>
                <w:color w:val="auto"/>
              </w:rPr>
              <w:t>2024</w:t>
            </w:r>
          </w:p>
        </w:tc>
        <w:tc>
          <w:tcPr>
            <w:tcW w:w="1040" w:type="dxa"/>
            <w:vAlign w:val="bottom"/>
            <w:vMerge w:val="restart"/>
            <w:shd w:val="clear" w:color="auto" w:fill="F1F2F2"/>
          </w:tcPr>
          <w:p>
            <w:pPr>
              <w:jc w:val="right"/>
              <w:spacing w:after="0"/>
              <w:rPr>
                <w:sz w:val="20"/>
                <w:szCs w:val="20"/>
                <w:color w:val="auto"/>
              </w:rPr>
            </w:pPr>
            <w:r>
              <w:rPr>
                <w:rFonts w:ascii="Arial" w:cs="Arial" w:eastAsia="Arial" w:hAnsi="Arial"/>
                <w:sz w:val="14"/>
                <w:szCs w:val="14"/>
                <w:color w:val="auto"/>
              </w:rPr>
              <w:t>582,041</w:t>
            </w:r>
          </w:p>
        </w:tc>
        <w:tc>
          <w:tcPr>
            <w:tcW w:w="220" w:type="dxa"/>
            <w:vAlign w:val="bottom"/>
            <w:shd w:val="clear" w:color="auto" w:fill="F1F2F2"/>
          </w:tcPr>
          <w:p>
            <w:pPr>
              <w:spacing w:after="0"/>
              <w:rPr>
                <w:sz w:val="22"/>
                <w:szCs w:val="22"/>
                <w:color w:val="auto"/>
              </w:rPr>
            </w:pPr>
          </w:p>
        </w:tc>
        <w:tc>
          <w:tcPr>
            <w:tcW w:w="1040" w:type="dxa"/>
            <w:vAlign w:val="bottom"/>
            <w:vMerge w:val="restart"/>
            <w:shd w:val="clear" w:color="auto" w:fill="F1F2F2"/>
          </w:tcPr>
          <w:p>
            <w:pPr>
              <w:jc w:val="right"/>
              <w:ind w:right="48"/>
              <w:spacing w:after="0"/>
              <w:rPr>
                <w:sz w:val="20"/>
                <w:szCs w:val="20"/>
                <w:color w:val="auto"/>
              </w:rPr>
            </w:pPr>
            <w:r>
              <w:rPr>
                <w:rFonts w:ascii="Arial" w:cs="Arial" w:eastAsia="Arial" w:hAnsi="Arial"/>
                <w:sz w:val="14"/>
                <w:szCs w:val="14"/>
                <w:color w:val="auto"/>
              </w:rPr>
              <w:t>30,000,000</w:t>
            </w:r>
          </w:p>
        </w:tc>
        <w:tc>
          <w:tcPr>
            <w:tcW w:w="1300" w:type="dxa"/>
            <w:vAlign w:val="bottom"/>
            <w:vMerge w:val="restart"/>
            <w:shd w:val="clear" w:color="auto" w:fill="F1F2F2"/>
          </w:tcPr>
          <w:p>
            <w:pPr>
              <w:jc w:val="right"/>
              <w:ind w:right="168"/>
              <w:spacing w:after="0"/>
              <w:rPr>
                <w:sz w:val="20"/>
                <w:szCs w:val="20"/>
                <w:color w:val="auto"/>
              </w:rPr>
            </w:pPr>
            <w:r>
              <w:rPr>
                <w:rFonts w:ascii="Arial" w:cs="Arial" w:eastAsia="Arial" w:hAnsi="Arial"/>
                <w:sz w:val="14"/>
                <w:szCs w:val="14"/>
                <w:color w:val="auto"/>
              </w:rPr>
              <w:t>9,999,990</w:t>
            </w:r>
          </w:p>
        </w:tc>
        <w:tc>
          <w:tcPr>
            <w:tcW w:w="900" w:type="dxa"/>
            <w:vAlign w:val="bottom"/>
            <w:vMerge w:val="restart"/>
            <w:shd w:val="clear" w:color="auto" w:fill="F1F2F2"/>
          </w:tcPr>
          <w:p>
            <w:pPr>
              <w:jc w:val="right"/>
              <w:ind w:right="8"/>
              <w:spacing w:after="0"/>
              <w:rPr>
                <w:sz w:val="20"/>
                <w:szCs w:val="20"/>
                <w:color w:val="auto"/>
              </w:rPr>
            </w:pPr>
            <w:r>
              <w:rPr>
                <w:rFonts w:ascii="Arial" w:cs="Arial" w:eastAsia="Arial" w:hAnsi="Arial"/>
                <w:sz w:val="14"/>
                <w:szCs w:val="14"/>
                <w:color w:val="auto"/>
              </w:rPr>
              <w:t>—</w:t>
            </w:r>
          </w:p>
        </w:tc>
        <w:tc>
          <w:tcPr>
            <w:tcW w:w="1700" w:type="dxa"/>
            <w:vAlign w:val="bottom"/>
            <w:vMerge w:val="restart"/>
            <w:shd w:val="clear" w:color="auto" w:fill="F1F2F2"/>
          </w:tcPr>
          <w:p>
            <w:pPr>
              <w:jc w:val="right"/>
              <w:ind w:right="188"/>
              <w:spacing w:after="0"/>
              <w:rPr>
                <w:sz w:val="20"/>
                <w:szCs w:val="20"/>
                <w:color w:val="auto"/>
              </w:rPr>
            </w:pPr>
            <w:r>
              <w:rPr>
                <w:rFonts w:ascii="Arial" w:cs="Arial" w:eastAsia="Arial" w:hAnsi="Arial"/>
                <w:sz w:val="14"/>
                <w:szCs w:val="14"/>
                <w:color w:val="auto"/>
              </w:rPr>
              <w:t>513,000</w:t>
            </w:r>
          </w:p>
        </w:tc>
        <w:tc>
          <w:tcPr>
            <w:tcW w:w="1460" w:type="dxa"/>
            <w:vAlign w:val="bottom"/>
            <w:vMerge w:val="restart"/>
            <w:shd w:val="clear" w:color="auto" w:fill="F1F2F2"/>
          </w:tcPr>
          <w:p>
            <w:pPr>
              <w:jc w:val="right"/>
              <w:ind w:right="108"/>
              <w:spacing w:after="0"/>
              <w:rPr>
                <w:sz w:val="20"/>
                <w:szCs w:val="20"/>
                <w:color w:val="auto"/>
              </w:rPr>
            </w:pPr>
            <w:r>
              <w:rPr>
                <w:rFonts w:ascii="Arial" w:cs="Arial" w:eastAsia="Arial" w:hAnsi="Arial"/>
                <w:sz w:val="14"/>
                <w:szCs w:val="14"/>
                <w:color w:val="auto"/>
              </w:rPr>
              <w:t>—</w:t>
            </w:r>
          </w:p>
        </w:tc>
        <w:tc>
          <w:tcPr>
            <w:tcW w:w="1080" w:type="dxa"/>
            <w:vAlign w:val="bottom"/>
            <w:vMerge w:val="restart"/>
            <w:shd w:val="clear" w:color="auto" w:fill="F1F2F2"/>
          </w:tcPr>
          <w:p>
            <w:pPr>
              <w:jc w:val="right"/>
              <w:ind w:right="148"/>
              <w:spacing w:after="0"/>
              <w:rPr>
                <w:sz w:val="20"/>
                <w:szCs w:val="20"/>
                <w:color w:val="auto"/>
              </w:rPr>
            </w:pPr>
            <w:r>
              <w:rPr>
                <w:rFonts w:ascii="Arial" w:cs="Arial" w:eastAsia="Arial" w:hAnsi="Arial"/>
                <w:sz w:val="14"/>
                <w:szCs w:val="14"/>
                <w:color w:val="auto"/>
              </w:rPr>
              <w:t>41,095,031</w:t>
            </w:r>
          </w:p>
        </w:tc>
        <w:tc>
          <w:tcPr>
            <w:tcW w:w="0" w:type="dxa"/>
            <w:vAlign w:val="bottom"/>
          </w:tcPr>
          <w:p>
            <w:pPr>
              <w:spacing w:after="0"/>
              <w:rPr>
                <w:sz w:val="1"/>
                <w:szCs w:val="1"/>
                <w:color w:val="auto"/>
              </w:rPr>
            </w:pPr>
          </w:p>
        </w:tc>
      </w:tr>
      <w:tr>
        <w:trPr>
          <w:trHeight w:val="109"/>
        </w:trPr>
        <w:tc>
          <w:tcPr>
            <w:tcW w:w="1700" w:type="dxa"/>
            <w:vAlign w:val="bottom"/>
            <w:vMerge w:val="restart"/>
            <w:shd w:val="clear" w:color="auto" w:fill="F1F2F2"/>
          </w:tcPr>
          <w:p>
            <w:pPr>
              <w:ind w:left="100"/>
              <w:spacing w:after="0"/>
              <w:rPr>
                <w:sz w:val="20"/>
                <w:szCs w:val="20"/>
                <w:color w:val="auto"/>
              </w:rPr>
            </w:pPr>
            <w:r>
              <w:rPr>
                <w:rFonts w:ascii="Arial" w:cs="Arial" w:eastAsia="Arial" w:hAnsi="Arial"/>
                <w:sz w:val="14"/>
                <w:szCs w:val="14"/>
                <w:color w:val="auto"/>
              </w:rPr>
              <w:t>Chief Executive Officer</w:t>
            </w:r>
          </w:p>
        </w:tc>
        <w:tc>
          <w:tcPr>
            <w:tcW w:w="800" w:type="dxa"/>
            <w:vAlign w:val="bottom"/>
            <w:vMerge w:val="continue"/>
            <w:shd w:val="clear" w:color="auto" w:fill="F1F2F2"/>
          </w:tcPr>
          <w:p>
            <w:pPr>
              <w:spacing w:after="0"/>
              <w:rPr>
                <w:sz w:val="9"/>
                <w:szCs w:val="9"/>
                <w:color w:val="auto"/>
              </w:rPr>
            </w:pPr>
          </w:p>
        </w:tc>
        <w:tc>
          <w:tcPr>
            <w:tcW w:w="1040" w:type="dxa"/>
            <w:vAlign w:val="bottom"/>
            <w:vMerge w:val="continue"/>
            <w:shd w:val="clear" w:color="auto" w:fill="F1F2F2"/>
          </w:tcPr>
          <w:p>
            <w:pPr>
              <w:spacing w:after="0"/>
              <w:rPr>
                <w:sz w:val="9"/>
                <w:szCs w:val="9"/>
                <w:color w:val="auto"/>
              </w:rPr>
            </w:pPr>
          </w:p>
        </w:tc>
        <w:tc>
          <w:tcPr>
            <w:tcW w:w="220" w:type="dxa"/>
            <w:vAlign w:val="bottom"/>
            <w:shd w:val="clear" w:color="auto" w:fill="F1F2F2"/>
          </w:tcPr>
          <w:p>
            <w:pPr>
              <w:spacing w:after="0"/>
              <w:rPr>
                <w:sz w:val="9"/>
                <w:szCs w:val="9"/>
                <w:color w:val="auto"/>
              </w:rPr>
            </w:pPr>
          </w:p>
        </w:tc>
        <w:tc>
          <w:tcPr>
            <w:tcW w:w="1040" w:type="dxa"/>
            <w:vAlign w:val="bottom"/>
            <w:vMerge w:val="continue"/>
            <w:shd w:val="clear" w:color="auto" w:fill="F1F2F2"/>
          </w:tcPr>
          <w:p>
            <w:pPr>
              <w:spacing w:after="0"/>
              <w:rPr>
                <w:sz w:val="9"/>
                <w:szCs w:val="9"/>
                <w:color w:val="auto"/>
              </w:rPr>
            </w:pPr>
          </w:p>
        </w:tc>
        <w:tc>
          <w:tcPr>
            <w:tcW w:w="1300" w:type="dxa"/>
            <w:vAlign w:val="bottom"/>
            <w:vMerge w:val="continue"/>
            <w:shd w:val="clear" w:color="auto" w:fill="F1F2F2"/>
          </w:tcPr>
          <w:p>
            <w:pPr>
              <w:spacing w:after="0"/>
              <w:rPr>
                <w:sz w:val="9"/>
                <w:szCs w:val="9"/>
                <w:color w:val="auto"/>
              </w:rPr>
            </w:pPr>
          </w:p>
        </w:tc>
        <w:tc>
          <w:tcPr>
            <w:tcW w:w="900" w:type="dxa"/>
            <w:vAlign w:val="bottom"/>
            <w:vMerge w:val="continue"/>
            <w:shd w:val="clear" w:color="auto" w:fill="F1F2F2"/>
          </w:tcPr>
          <w:p>
            <w:pPr>
              <w:spacing w:after="0"/>
              <w:rPr>
                <w:sz w:val="9"/>
                <w:szCs w:val="9"/>
                <w:color w:val="auto"/>
              </w:rPr>
            </w:pPr>
          </w:p>
        </w:tc>
        <w:tc>
          <w:tcPr>
            <w:tcW w:w="1700" w:type="dxa"/>
            <w:vAlign w:val="bottom"/>
            <w:vMerge w:val="continue"/>
            <w:shd w:val="clear" w:color="auto" w:fill="F1F2F2"/>
          </w:tcPr>
          <w:p>
            <w:pPr>
              <w:spacing w:after="0"/>
              <w:rPr>
                <w:sz w:val="9"/>
                <w:szCs w:val="9"/>
                <w:color w:val="auto"/>
              </w:rPr>
            </w:pPr>
          </w:p>
        </w:tc>
        <w:tc>
          <w:tcPr>
            <w:tcW w:w="1460" w:type="dxa"/>
            <w:vAlign w:val="bottom"/>
            <w:vMerge w:val="continue"/>
            <w:shd w:val="clear" w:color="auto" w:fill="F1F2F2"/>
          </w:tcPr>
          <w:p>
            <w:pPr>
              <w:spacing w:after="0"/>
              <w:rPr>
                <w:sz w:val="9"/>
                <w:szCs w:val="9"/>
                <w:color w:val="auto"/>
              </w:rPr>
            </w:pPr>
          </w:p>
        </w:tc>
        <w:tc>
          <w:tcPr>
            <w:tcW w:w="1080" w:type="dxa"/>
            <w:vAlign w:val="bottom"/>
            <w:vMerge w:val="continue"/>
            <w:shd w:val="clear" w:color="auto" w:fill="F1F2F2"/>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700" w:type="dxa"/>
            <w:vAlign w:val="bottom"/>
            <w:vMerge w:val="continue"/>
            <w:shd w:val="clear" w:color="auto" w:fill="F1F2F2"/>
          </w:tcPr>
          <w:p>
            <w:pPr>
              <w:spacing w:after="0"/>
              <w:rPr>
                <w:sz w:val="7"/>
                <w:szCs w:val="7"/>
                <w:color w:val="auto"/>
              </w:rPr>
            </w:pPr>
          </w:p>
        </w:tc>
        <w:tc>
          <w:tcPr>
            <w:tcW w:w="800" w:type="dxa"/>
            <w:vAlign w:val="bottom"/>
            <w:shd w:val="clear" w:color="auto" w:fill="F1F2F2"/>
          </w:tcPr>
          <w:p>
            <w:pPr>
              <w:spacing w:after="0"/>
              <w:rPr>
                <w:sz w:val="7"/>
                <w:szCs w:val="7"/>
                <w:color w:val="auto"/>
              </w:rPr>
            </w:pPr>
          </w:p>
        </w:tc>
        <w:tc>
          <w:tcPr>
            <w:tcW w:w="1040" w:type="dxa"/>
            <w:vAlign w:val="bottom"/>
            <w:shd w:val="clear" w:color="auto" w:fill="F1F2F2"/>
          </w:tcPr>
          <w:p>
            <w:pPr>
              <w:spacing w:after="0"/>
              <w:rPr>
                <w:sz w:val="7"/>
                <w:szCs w:val="7"/>
                <w:color w:val="auto"/>
              </w:rPr>
            </w:pPr>
          </w:p>
        </w:tc>
        <w:tc>
          <w:tcPr>
            <w:tcW w:w="220" w:type="dxa"/>
            <w:vAlign w:val="bottom"/>
            <w:shd w:val="clear" w:color="auto" w:fill="F1F2F2"/>
          </w:tcPr>
          <w:p>
            <w:pPr>
              <w:spacing w:after="0"/>
              <w:rPr>
                <w:sz w:val="7"/>
                <w:szCs w:val="7"/>
                <w:color w:val="auto"/>
              </w:rPr>
            </w:pPr>
          </w:p>
        </w:tc>
        <w:tc>
          <w:tcPr>
            <w:tcW w:w="1040" w:type="dxa"/>
            <w:vAlign w:val="bottom"/>
            <w:shd w:val="clear" w:color="auto" w:fill="F1F2F2"/>
          </w:tcPr>
          <w:p>
            <w:pPr>
              <w:spacing w:after="0"/>
              <w:rPr>
                <w:sz w:val="7"/>
                <w:szCs w:val="7"/>
                <w:color w:val="auto"/>
              </w:rPr>
            </w:pPr>
          </w:p>
        </w:tc>
        <w:tc>
          <w:tcPr>
            <w:tcW w:w="1300" w:type="dxa"/>
            <w:vAlign w:val="bottom"/>
            <w:shd w:val="clear" w:color="auto" w:fill="F1F2F2"/>
          </w:tcPr>
          <w:p>
            <w:pPr>
              <w:spacing w:after="0"/>
              <w:rPr>
                <w:sz w:val="7"/>
                <w:szCs w:val="7"/>
                <w:color w:val="auto"/>
              </w:rPr>
            </w:pPr>
          </w:p>
        </w:tc>
        <w:tc>
          <w:tcPr>
            <w:tcW w:w="900" w:type="dxa"/>
            <w:vAlign w:val="bottom"/>
            <w:shd w:val="clear" w:color="auto" w:fill="F1F2F2"/>
          </w:tcPr>
          <w:p>
            <w:pPr>
              <w:spacing w:after="0"/>
              <w:rPr>
                <w:sz w:val="7"/>
                <w:szCs w:val="7"/>
                <w:color w:val="auto"/>
              </w:rPr>
            </w:pPr>
          </w:p>
        </w:tc>
        <w:tc>
          <w:tcPr>
            <w:tcW w:w="1700" w:type="dxa"/>
            <w:vAlign w:val="bottom"/>
            <w:shd w:val="clear" w:color="auto" w:fill="F1F2F2"/>
          </w:tcPr>
          <w:p>
            <w:pPr>
              <w:spacing w:after="0"/>
              <w:rPr>
                <w:sz w:val="7"/>
                <w:szCs w:val="7"/>
                <w:color w:val="auto"/>
              </w:rPr>
            </w:pPr>
          </w:p>
        </w:tc>
        <w:tc>
          <w:tcPr>
            <w:tcW w:w="1460" w:type="dxa"/>
            <w:vAlign w:val="bottom"/>
            <w:shd w:val="clear" w:color="auto" w:fill="F1F2F2"/>
          </w:tcPr>
          <w:p>
            <w:pPr>
              <w:spacing w:after="0"/>
              <w:rPr>
                <w:sz w:val="7"/>
                <w:szCs w:val="7"/>
                <w:color w:val="auto"/>
              </w:rPr>
            </w:pPr>
          </w:p>
        </w:tc>
        <w:tc>
          <w:tcPr>
            <w:tcW w:w="1080" w:type="dxa"/>
            <w:vAlign w:val="bottom"/>
            <w:shd w:val="clear" w:color="auto" w:fill="F1F2F2"/>
          </w:tcPr>
          <w:p>
            <w:pPr>
              <w:spacing w:after="0"/>
              <w:rPr>
                <w:sz w:val="7"/>
                <w:szCs w:val="7"/>
                <w:color w:val="auto"/>
              </w:rPr>
            </w:pPr>
          </w:p>
        </w:tc>
        <w:tc>
          <w:tcPr>
            <w:tcW w:w="0" w:type="dxa"/>
            <w:vAlign w:val="bottom"/>
          </w:tcPr>
          <w:p>
            <w:pPr>
              <w:spacing w:after="0"/>
              <w:rPr>
                <w:sz w:val="1"/>
                <w:szCs w:val="1"/>
                <w:color w:val="auto"/>
              </w:rPr>
            </w:pPr>
          </w:p>
        </w:tc>
      </w:tr>
      <w:tr>
        <w:trPr>
          <w:trHeight w:val="284"/>
        </w:trPr>
        <w:tc>
          <w:tcPr>
            <w:tcW w:w="1700" w:type="dxa"/>
            <w:vAlign w:val="bottom"/>
            <w:shd w:val="clear" w:color="auto" w:fill="F1F2F2"/>
          </w:tcPr>
          <w:p>
            <w:pPr>
              <w:spacing w:after="0"/>
              <w:rPr>
                <w:sz w:val="24"/>
                <w:szCs w:val="24"/>
                <w:color w:val="auto"/>
              </w:rPr>
            </w:pPr>
          </w:p>
        </w:tc>
        <w:tc>
          <w:tcPr>
            <w:tcW w:w="800" w:type="dxa"/>
            <w:vAlign w:val="bottom"/>
            <w:shd w:val="clear" w:color="auto" w:fill="F1F2F2"/>
          </w:tcPr>
          <w:p>
            <w:pPr>
              <w:ind w:left="240"/>
              <w:spacing w:after="0"/>
              <w:rPr>
                <w:sz w:val="20"/>
                <w:szCs w:val="20"/>
                <w:color w:val="auto"/>
              </w:rPr>
            </w:pPr>
            <w:r>
              <w:rPr>
                <w:rFonts w:ascii="Arial" w:cs="Arial" w:eastAsia="Arial" w:hAnsi="Arial"/>
                <w:sz w:val="14"/>
                <w:szCs w:val="14"/>
                <w:color w:val="auto"/>
              </w:rPr>
              <w:t>2023</w:t>
            </w:r>
          </w:p>
        </w:tc>
        <w:tc>
          <w:tcPr>
            <w:tcW w:w="1040" w:type="dxa"/>
            <w:vAlign w:val="bottom"/>
            <w:shd w:val="clear" w:color="auto" w:fill="F1F2F2"/>
          </w:tcPr>
          <w:p>
            <w:pPr>
              <w:jc w:val="right"/>
              <w:spacing w:after="0"/>
              <w:rPr>
                <w:sz w:val="20"/>
                <w:szCs w:val="20"/>
                <w:color w:val="auto"/>
              </w:rPr>
            </w:pPr>
            <w:r>
              <w:rPr>
                <w:rFonts w:ascii="Arial" w:cs="Arial" w:eastAsia="Arial" w:hAnsi="Arial"/>
                <w:sz w:val="14"/>
                <w:szCs w:val="14"/>
                <w:color w:val="auto"/>
              </w:rPr>
              <w:t>595,825</w:t>
            </w:r>
          </w:p>
        </w:tc>
        <w:tc>
          <w:tcPr>
            <w:tcW w:w="220" w:type="dxa"/>
            <w:vAlign w:val="bottom"/>
            <w:shd w:val="clear" w:color="auto" w:fill="F1F2F2"/>
          </w:tcPr>
          <w:p>
            <w:pPr>
              <w:spacing w:after="0"/>
              <w:rPr>
                <w:sz w:val="24"/>
                <w:szCs w:val="24"/>
                <w:color w:val="auto"/>
              </w:rPr>
            </w:pPr>
          </w:p>
        </w:tc>
        <w:tc>
          <w:tcPr>
            <w:tcW w:w="1040" w:type="dxa"/>
            <w:vAlign w:val="bottom"/>
            <w:shd w:val="clear" w:color="auto" w:fill="F1F2F2"/>
          </w:tcPr>
          <w:p>
            <w:pPr>
              <w:jc w:val="right"/>
              <w:ind w:right="48"/>
              <w:spacing w:after="0"/>
              <w:rPr>
                <w:sz w:val="20"/>
                <w:szCs w:val="20"/>
                <w:color w:val="auto"/>
              </w:rPr>
            </w:pPr>
            <w:r>
              <w:rPr>
                <w:rFonts w:ascii="Arial" w:cs="Arial" w:eastAsia="Arial" w:hAnsi="Arial"/>
                <w:sz w:val="14"/>
                <w:szCs w:val="14"/>
                <w:color w:val="auto"/>
              </w:rPr>
              <w:t>159,122</w:t>
            </w:r>
          </w:p>
        </w:tc>
        <w:tc>
          <w:tcPr>
            <w:tcW w:w="1300" w:type="dxa"/>
            <w:vAlign w:val="bottom"/>
            <w:shd w:val="clear" w:color="auto" w:fill="F1F2F2"/>
          </w:tcPr>
          <w:p>
            <w:pPr>
              <w:jc w:val="right"/>
              <w:ind w:right="168"/>
              <w:spacing w:after="0"/>
              <w:rPr>
                <w:sz w:val="20"/>
                <w:szCs w:val="20"/>
                <w:color w:val="auto"/>
              </w:rPr>
            </w:pPr>
            <w:r>
              <w:rPr>
                <w:rFonts w:ascii="Arial" w:cs="Arial" w:eastAsia="Arial" w:hAnsi="Arial"/>
                <w:sz w:val="14"/>
                <w:szCs w:val="14"/>
                <w:color w:val="auto"/>
              </w:rPr>
              <w:t>8,906,610</w:t>
            </w:r>
          </w:p>
        </w:tc>
        <w:tc>
          <w:tcPr>
            <w:tcW w:w="900" w:type="dxa"/>
            <w:vAlign w:val="bottom"/>
            <w:shd w:val="clear" w:color="auto" w:fill="F1F2F2"/>
          </w:tcPr>
          <w:p>
            <w:pPr>
              <w:jc w:val="right"/>
              <w:ind w:right="8"/>
              <w:spacing w:after="0"/>
              <w:rPr>
                <w:sz w:val="20"/>
                <w:szCs w:val="20"/>
                <w:color w:val="auto"/>
              </w:rPr>
            </w:pPr>
            <w:r>
              <w:rPr>
                <w:rFonts w:ascii="Arial" w:cs="Arial" w:eastAsia="Arial" w:hAnsi="Arial"/>
                <w:sz w:val="14"/>
                <w:szCs w:val="14"/>
                <w:color w:val="auto"/>
              </w:rPr>
              <w:t>—</w:t>
            </w:r>
          </w:p>
        </w:tc>
        <w:tc>
          <w:tcPr>
            <w:tcW w:w="1700" w:type="dxa"/>
            <w:vAlign w:val="bottom"/>
            <w:shd w:val="clear" w:color="auto" w:fill="F1F2F2"/>
          </w:tcPr>
          <w:p>
            <w:pPr>
              <w:jc w:val="right"/>
              <w:ind w:right="188"/>
              <w:spacing w:after="0"/>
              <w:rPr>
                <w:sz w:val="20"/>
                <w:szCs w:val="20"/>
                <w:color w:val="auto"/>
              </w:rPr>
            </w:pPr>
            <w:r>
              <w:rPr>
                <w:rFonts w:ascii="Arial" w:cs="Arial" w:eastAsia="Arial" w:hAnsi="Arial"/>
                <w:sz w:val="14"/>
                <w:szCs w:val="14"/>
                <w:color w:val="auto"/>
              </w:rPr>
              <w:t>684,000</w:t>
            </w:r>
          </w:p>
        </w:tc>
        <w:tc>
          <w:tcPr>
            <w:tcW w:w="1460" w:type="dxa"/>
            <w:vAlign w:val="bottom"/>
            <w:shd w:val="clear" w:color="auto" w:fill="F1F2F2"/>
          </w:tcPr>
          <w:p>
            <w:pPr>
              <w:jc w:val="right"/>
              <w:ind w:right="108"/>
              <w:spacing w:after="0"/>
              <w:rPr>
                <w:sz w:val="20"/>
                <w:szCs w:val="20"/>
                <w:color w:val="auto"/>
              </w:rPr>
            </w:pPr>
            <w:r>
              <w:rPr>
                <w:rFonts w:ascii="Arial" w:cs="Arial" w:eastAsia="Arial" w:hAnsi="Arial"/>
                <w:sz w:val="14"/>
                <w:szCs w:val="14"/>
                <w:color w:val="auto"/>
              </w:rPr>
              <w:t>—</w:t>
            </w:r>
          </w:p>
        </w:tc>
        <w:tc>
          <w:tcPr>
            <w:tcW w:w="1080" w:type="dxa"/>
            <w:vAlign w:val="bottom"/>
            <w:shd w:val="clear" w:color="auto" w:fill="F1F2F2"/>
          </w:tcPr>
          <w:p>
            <w:pPr>
              <w:jc w:val="right"/>
              <w:ind w:right="148"/>
              <w:spacing w:after="0"/>
              <w:rPr>
                <w:sz w:val="20"/>
                <w:szCs w:val="20"/>
                <w:color w:val="auto"/>
              </w:rPr>
            </w:pPr>
            <w:r>
              <w:rPr>
                <w:rFonts w:ascii="Arial" w:cs="Arial" w:eastAsia="Arial" w:hAnsi="Arial"/>
                <w:sz w:val="14"/>
                <w:szCs w:val="14"/>
                <w:color w:val="auto"/>
              </w:rPr>
              <w:t>10,345,557</w:t>
            </w:r>
          </w:p>
        </w:tc>
        <w:tc>
          <w:tcPr>
            <w:tcW w:w="0" w:type="dxa"/>
            <w:vAlign w:val="bottom"/>
          </w:tcPr>
          <w:p>
            <w:pPr>
              <w:spacing w:after="0"/>
              <w:rPr>
                <w:sz w:val="1"/>
                <w:szCs w:val="1"/>
                <w:color w:val="auto"/>
              </w:rPr>
            </w:pPr>
          </w:p>
        </w:tc>
      </w:tr>
      <w:tr>
        <w:trPr>
          <w:trHeight w:val="89"/>
        </w:trPr>
        <w:tc>
          <w:tcPr>
            <w:tcW w:w="1700" w:type="dxa"/>
            <w:vAlign w:val="bottom"/>
            <w:shd w:val="clear" w:color="auto" w:fill="F1F2F2"/>
          </w:tcPr>
          <w:p>
            <w:pPr>
              <w:spacing w:after="0"/>
              <w:rPr>
                <w:sz w:val="7"/>
                <w:szCs w:val="7"/>
                <w:color w:val="auto"/>
              </w:rPr>
            </w:pPr>
          </w:p>
        </w:tc>
        <w:tc>
          <w:tcPr>
            <w:tcW w:w="800" w:type="dxa"/>
            <w:vAlign w:val="bottom"/>
            <w:shd w:val="clear" w:color="auto" w:fill="F1F2F2"/>
          </w:tcPr>
          <w:p>
            <w:pPr>
              <w:spacing w:after="0"/>
              <w:rPr>
                <w:sz w:val="7"/>
                <w:szCs w:val="7"/>
                <w:color w:val="auto"/>
              </w:rPr>
            </w:pPr>
          </w:p>
        </w:tc>
        <w:tc>
          <w:tcPr>
            <w:tcW w:w="1040" w:type="dxa"/>
            <w:vAlign w:val="bottom"/>
            <w:shd w:val="clear" w:color="auto" w:fill="F1F2F2"/>
          </w:tcPr>
          <w:p>
            <w:pPr>
              <w:spacing w:after="0"/>
              <w:rPr>
                <w:sz w:val="7"/>
                <w:szCs w:val="7"/>
                <w:color w:val="auto"/>
              </w:rPr>
            </w:pPr>
          </w:p>
        </w:tc>
        <w:tc>
          <w:tcPr>
            <w:tcW w:w="220" w:type="dxa"/>
            <w:vAlign w:val="bottom"/>
            <w:shd w:val="clear" w:color="auto" w:fill="F1F2F2"/>
          </w:tcPr>
          <w:p>
            <w:pPr>
              <w:spacing w:after="0"/>
              <w:rPr>
                <w:sz w:val="7"/>
                <w:szCs w:val="7"/>
                <w:color w:val="auto"/>
              </w:rPr>
            </w:pPr>
          </w:p>
        </w:tc>
        <w:tc>
          <w:tcPr>
            <w:tcW w:w="1040" w:type="dxa"/>
            <w:vAlign w:val="bottom"/>
            <w:shd w:val="clear" w:color="auto" w:fill="F1F2F2"/>
          </w:tcPr>
          <w:p>
            <w:pPr>
              <w:spacing w:after="0"/>
              <w:rPr>
                <w:sz w:val="7"/>
                <w:szCs w:val="7"/>
                <w:color w:val="auto"/>
              </w:rPr>
            </w:pPr>
          </w:p>
        </w:tc>
        <w:tc>
          <w:tcPr>
            <w:tcW w:w="1300" w:type="dxa"/>
            <w:vAlign w:val="bottom"/>
            <w:shd w:val="clear" w:color="auto" w:fill="F1F2F2"/>
          </w:tcPr>
          <w:p>
            <w:pPr>
              <w:spacing w:after="0"/>
              <w:rPr>
                <w:sz w:val="7"/>
                <w:szCs w:val="7"/>
                <w:color w:val="auto"/>
              </w:rPr>
            </w:pPr>
          </w:p>
        </w:tc>
        <w:tc>
          <w:tcPr>
            <w:tcW w:w="900" w:type="dxa"/>
            <w:vAlign w:val="bottom"/>
            <w:shd w:val="clear" w:color="auto" w:fill="F1F2F2"/>
          </w:tcPr>
          <w:p>
            <w:pPr>
              <w:spacing w:after="0"/>
              <w:rPr>
                <w:sz w:val="7"/>
                <w:szCs w:val="7"/>
                <w:color w:val="auto"/>
              </w:rPr>
            </w:pPr>
          </w:p>
        </w:tc>
        <w:tc>
          <w:tcPr>
            <w:tcW w:w="1700" w:type="dxa"/>
            <w:vAlign w:val="bottom"/>
            <w:shd w:val="clear" w:color="auto" w:fill="F1F2F2"/>
          </w:tcPr>
          <w:p>
            <w:pPr>
              <w:spacing w:after="0"/>
              <w:rPr>
                <w:sz w:val="7"/>
                <w:szCs w:val="7"/>
                <w:color w:val="auto"/>
              </w:rPr>
            </w:pPr>
          </w:p>
        </w:tc>
        <w:tc>
          <w:tcPr>
            <w:tcW w:w="1460" w:type="dxa"/>
            <w:vAlign w:val="bottom"/>
            <w:shd w:val="clear" w:color="auto" w:fill="F1F2F2"/>
          </w:tcPr>
          <w:p>
            <w:pPr>
              <w:spacing w:after="0"/>
              <w:rPr>
                <w:sz w:val="7"/>
                <w:szCs w:val="7"/>
                <w:color w:val="auto"/>
              </w:rPr>
            </w:pPr>
          </w:p>
        </w:tc>
        <w:tc>
          <w:tcPr>
            <w:tcW w:w="1080" w:type="dxa"/>
            <w:vAlign w:val="bottom"/>
            <w:shd w:val="clear" w:color="auto" w:fill="F1F2F2"/>
          </w:tcPr>
          <w:p>
            <w:pPr>
              <w:spacing w:after="0"/>
              <w:rPr>
                <w:sz w:val="7"/>
                <w:szCs w:val="7"/>
                <w:color w:val="auto"/>
              </w:rPr>
            </w:pPr>
          </w:p>
        </w:tc>
        <w:tc>
          <w:tcPr>
            <w:tcW w:w="0" w:type="dxa"/>
            <w:vAlign w:val="bottom"/>
          </w:tcPr>
          <w:p>
            <w:pPr>
              <w:spacing w:after="0"/>
              <w:rPr>
                <w:sz w:val="1"/>
                <w:szCs w:val="1"/>
                <w:color w:val="auto"/>
              </w:rPr>
            </w:pPr>
          </w:p>
        </w:tc>
      </w:tr>
      <w:tr>
        <w:trPr>
          <w:trHeight w:val="275"/>
        </w:trPr>
        <w:tc>
          <w:tcPr>
            <w:tcW w:w="170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David J. Lee</w:t>
            </w:r>
          </w:p>
        </w:tc>
        <w:tc>
          <w:tcPr>
            <w:tcW w:w="800" w:type="dxa"/>
            <w:vAlign w:val="bottom"/>
          </w:tcPr>
          <w:p>
            <w:pPr>
              <w:ind w:left="240"/>
              <w:spacing w:after="0"/>
              <w:rPr>
                <w:sz w:val="20"/>
                <w:szCs w:val="20"/>
                <w:color w:val="auto"/>
              </w:rPr>
            </w:pPr>
            <w:r>
              <w:rPr>
                <w:rFonts w:ascii="Arial" w:cs="Arial" w:eastAsia="Arial" w:hAnsi="Arial"/>
                <w:sz w:val="14"/>
                <w:szCs w:val="14"/>
                <w:color w:val="auto"/>
              </w:rPr>
              <w:t>2025</w:t>
            </w:r>
          </w:p>
        </w:tc>
        <w:tc>
          <w:tcPr>
            <w:tcW w:w="1040" w:type="dxa"/>
            <w:vAlign w:val="bottom"/>
          </w:tcPr>
          <w:p>
            <w:pPr>
              <w:jc w:val="right"/>
              <w:spacing w:after="0"/>
              <w:rPr>
                <w:sz w:val="20"/>
                <w:szCs w:val="20"/>
                <w:color w:val="auto"/>
              </w:rPr>
            </w:pPr>
            <w:r>
              <w:rPr>
                <w:rFonts w:ascii="Arial" w:cs="Arial" w:eastAsia="Arial" w:hAnsi="Arial"/>
                <w:sz w:val="14"/>
                <w:szCs w:val="14"/>
                <w:color w:val="auto"/>
              </w:rPr>
              <w:t>500,000</w:t>
            </w:r>
          </w:p>
        </w:tc>
        <w:tc>
          <w:tcPr>
            <w:tcW w:w="220" w:type="dxa"/>
            <w:vAlign w:val="bottom"/>
          </w:tcPr>
          <w:p>
            <w:pPr>
              <w:spacing w:after="0"/>
              <w:rPr>
                <w:sz w:val="23"/>
                <w:szCs w:val="23"/>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250,000</w:t>
            </w:r>
          </w:p>
        </w:tc>
        <w:tc>
          <w:tcPr>
            <w:tcW w:w="13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70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108"/>
              <w:spacing w:after="0"/>
              <w:rPr>
                <w:sz w:val="20"/>
                <w:szCs w:val="20"/>
                <w:color w:val="auto"/>
              </w:rPr>
            </w:pPr>
            <w:r>
              <w:rPr>
                <w:rFonts w:ascii="Arial" w:cs="Arial" w:eastAsia="Arial" w:hAnsi="Arial"/>
                <w:sz w:val="14"/>
                <w:szCs w:val="14"/>
                <w:color w:val="auto"/>
              </w:rPr>
              <w:t>41,350</w:t>
            </w:r>
          </w:p>
        </w:tc>
        <w:tc>
          <w:tcPr>
            <w:tcW w:w="1080" w:type="dxa"/>
            <w:vAlign w:val="bottom"/>
          </w:tcPr>
          <w:p>
            <w:pPr>
              <w:jc w:val="right"/>
              <w:ind w:right="148"/>
              <w:spacing w:after="0"/>
              <w:rPr>
                <w:sz w:val="20"/>
                <w:szCs w:val="20"/>
                <w:color w:val="auto"/>
              </w:rPr>
            </w:pPr>
            <w:r>
              <w:rPr>
                <w:rFonts w:ascii="Arial" w:cs="Arial" w:eastAsia="Arial" w:hAnsi="Arial"/>
                <w:sz w:val="14"/>
                <w:szCs w:val="14"/>
                <w:color w:val="auto"/>
              </w:rPr>
              <w:t>791,350</w:t>
            </w:r>
          </w:p>
        </w:tc>
        <w:tc>
          <w:tcPr>
            <w:tcW w:w="0" w:type="dxa"/>
            <w:vAlign w:val="bottom"/>
          </w:tcPr>
          <w:p>
            <w:pPr>
              <w:spacing w:after="0"/>
              <w:rPr>
                <w:sz w:val="1"/>
                <w:szCs w:val="1"/>
                <w:color w:val="auto"/>
              </w:rPr>
            </w:pPr>
          </w:p>
        </w:tc>
      </w:tr>
      <w:tr>
        <w:trPr>
          <w:trHeight w:val="93"/>
        </w:trPr>
        <w:tc>
          <w:tcPr>
            <w:tcW w:w="1700" w:type="dxa"/>
            <w:vAlign w:val="bottom"/>
            <w:vMerge w:val="continue"/>
          </w:tcPr>
          <w:p>
            <w:pPr>
              <w:spacing w:after="0"/>
              <w:rPr>
                <w:sz w:val="8"/>
                <w:szCs w:val="8"/>
                <w:color w:val="auto"/>
              </w:rPr>
            </w:pPr>
          </w:p>
        </w:tc>
        <w:tc>
          <w:tcPr>
            <w:tcW w:w="8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1700" w:type="dxa"/>
            <w:vAlign w:val="bottom"/>
          </w:tcPr>
          <w:p>
            <w:pPr>
              <w:ind w:left="100"/>
              <w:spacing w:after="0"/>
              <w:rPr>
                <w:sz w:val="20"/>
                <w:szCs w:val="20"/>
                <w:color w:val="auto"/>
              </w:rPr>
            </w:pPr>
            <w:r>
              <w:rPr>
                <w:rFonts w:ascii="Arial" w:cs="Arial" w:eastAsia="Arial" w:hAnsi="Arial"/>
                <w:sz w:val="14"/>
                <w:szCs w:val="14"/>
                <w:color w:val="auto"/>
              </w:rPr>
              <w:t>Chief Financial Officer</w:t>
            </w:r>
          </w:p>
        </w:tc>
        <w:tc>
          <w:tcPr>
            <w:tcW w:w="800" w:type="dxa"/>
            <w:vAlign w:val="bottom"/>
            <w:vMerge w:val="restart"/>
          </w:tcPr>
          <w:p>
            <w:pPr>
              <w:ind w:left="240"/>
              <w:spacing w:after="0"/>
              <w:rPr>
                <w:sz w:val="20"/>
                <w:szCs w:val="20"/>
                <w:color w:val="auto"/>
              </w:rPr>
            </w:pPr>
            <w:r>
              <w:rPr>
                <w:rFonts w:ascii="Arial" w:cs="Arial" w:eastAsia="Arial" w:hAnsi="Arial"/>
                <w:sz w:val="14"/>
                <w:szCs w:val="14"/>
                <w:color w:val="auto"/>
              </w:rPr>
              <w:t>2024</w:t>
            </w: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500,000</w:t>
            </w:r>
          </w:p>
        </w:tc>
        <w:tc>
          <w:tcPr>
            <w:tcW w:w="220" w:type="dxa"/>
            <w:vAlign w:val="bottom"/>
          </w:tcPr>
          <w:p>
            <w:pPr>
              <w:spacing w:after="0"/>
              <w:rPr>
                <w:sz w:val="15"/>
                <w:szCs w:val="15"/>
                <w:color w:val="auto"/>
              </w:rPr>
            </w:pPr>
          </w:p>
        </w:tc>
        <w:tc>
          <w:tcPr>
            <w:tcW w:w="1040" w:type="dxa"/>
            <w:vAlign w:val="bottom"/>
            <w:vMerge w:val="restart"/>
          </w:tcPr>
          <w:p>
            <w:pPr>
              <w:jc w:val="right"/>
              <w:ind w:right="48"/>
              <w:spacing w:after="0"/>
              <w:rPr>
                <w:sz w:val="20"/>
                <w:szCs w:val="20"/>
                <w:color w:val="auto"/>
              </w:rPr>
            </w:pPr>
            <w:r>
              <w:rPr>
                <w:rFonts w:ascii="Arial" w:cs="Arial" w:eastAsia="Arial" w:hAnsi="Arial"/>
                <w:sz w:val="14"/>
                <w:szCs w:val="14"/>
                <w:color w:val="auto"/>
              </w:rPr>
              <w:t>250,000</w:t>
            </w:r>
          </w:p>
        </w:tc>
        <w:tc>
          <w:tcPr>
            <w:tcW w:w="1300" w:type="dxa"/>
            <w:vAlign w:val="bottom"/>
            <w:vMerge w:val="restart"/>
          </w:tcPr>
          <w:p>
            <w:pPr>
              <w:jc w:val="right"/>
              <w:ind w:right="168"/>
              <w:spacing w:after="0"/>
              <w:rPr>
                <w:sz w:val="20"/>
                <w:szCs w:val="20"/>
                <w:color w:val="auto"/>
              </w:rPr>
            </w:pPr>
            <w:r>
              <w:rPr>
                <w:rFonts w:ascii="Arial" w:cs="Arial" w:eastAsia="Arial" w:hAnsi="Arial"/>
                <w:sz w:val="14"/>
                <w:szCs w:val="14"/>
                <w:color w:val="auto"/>
              </w:rPr>
              <w:t>5,139,450</w:t>
            </w:r>
          </w:p>
        </w:tc>
        <w:tc>
          <w:tcPr>
            <w:tcW w:w="90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700" w:type="dxa"/>
            <w:vAlign w:val="bottom"/>
            <w:vMerge w:val="restart"/>
          </w:tcPr>
          <w:p>
            <w:pPr>
              <w:jc w:val="right"/>
              <w:ind w:right="188"/>
              <w:spacing w:after="0"/>
              <w:rPr>
                <w:sz w:val="20"/>
                <w:szCs w:val="20"/>
                <w:color w:val="auto"/>
              </w:rPr>
            </w:pPr>
            <w:r>
              <w:rPr>
                <w:rFonts w:ascii="Arial" w:cs="Arial" w:eastAsia="Arial" w:hAnsi="Arial"/>
                <w:sz w:val="14"/>
                <w:szCs w:val="14"/>
                <w:color w:val="auto"/>
              </w:rPr>
              <w:t>200,000</w:t>
            </w:r>
          </w:p>
        </w:tc>
        <w:tc>
          <w:tcPr>
            <w:tcW w:w="1460" w:type="dxa"/>
            <w:vAlign w:val="bottom"/>
            <w:vMerge w:val="restart"/>
          </w:tcPr>
          <w:p>
            <w:pPr>
              <w:jc w:val="right"/>
              <w:ind w:right="108"/>
              <w:spacing w:after="0"/>
              <w:rPr>
                <w:sz w:val="20"/>
                <w:szCs w:val="20"/>
                <w:color w:val="auto"/>
              </w:rPr>
            </w:pPr>
            <w:r>
              <w:rPr>
                <w:rFonts w:ascii="Arial" w:cs="Arial" w:eastAsia="Arial" w:hAnsi="Arial"/>
                <w:sz w:val="14"/>
                <w:szCs w:val="14"/>
                <w:color w:val="auto"/>
              </w:rPr>
              <w:t>42,601</w:t>
            </w:r>
          </w:p>
        </w:tc>
        <w:tc>
          <w:tcPr>
            <w:tcW w:w="1080" w:type="dxa"/>
            <w:vAlign w:val="bottom"/>
            <w:vMerge w:val="restart"/>
          </w:tcPr>
          <w:p>
            <w:pPr>
              <w:jc w:val="right"/>
              <w:ind w:right="148"/>
              <w:spacing w:after="0"/>
              <w:rPr>
                <w:sz w:val="20"/>
                <w:szCs w:val="20"/>
                <w:color w:val="auto"/>
              </w:rPr>
            </w:pPr>
            <w:r>
              <w:rPr>
                <w:rFonts w:ascii="Arial" w:cs="Arial" w:eastAsia="Arial" w:hAnsi="Arial"/>
                <w:sz w:val="14"/>
                <w:szCs w:val="14"/>
                <w:color w:val="auto"/>
              </w:rPr>
              <w:t>6,132,051</w:t>
            </w:r>
          </w:p>
        </w:tc>
        <w:tc>
          <w:tcPr>
            <w:tcW w:w="0" w:type="dxa"/>
            <w:vAlign w:val="bottom"/>
          </w:tcPr>
          <w:p>
            <w:pPr>
              <w:spacing w:after="0"/>
              <w:rPr>
                <w:sz w:val="1"/>
                <w:szCs w:val="1"/>
                <w:color w:val="auto"/>
              </w:rPr>
            </w:pPr>
          </w:p>
        </w:tc>
      </w:tr>
      <w:tr>
        <w:trPr>
          <w:trHeight w:val="96"/>
        </w:trPr>
        <w:tc>
          <w:tcPr>
            <w:tcW w:w="1700" w:type="dxa"/>
            <w:vAlign w:val="bottom"/>
            <w:vMerge w:val="restart"/>
          </w:tcPr>
          <w:p>
            <w:pPr>
              <w:ind w:left="100"/>
              <w:spacing w:after="0"/>
              <w:rPr>
                <w:sz w:val="20"/>
                <w:szCs w:val="20"/>
                <w:color w:val="auto"/>
              </w:rPr>
            </w:pPr>
            <w:r>
              <w:rPr>
                <w:rFonts w:ascii="Arial" w:cs="Arial" w:eastAsia="Arial" w:hAnsi="Arial"/>
                <w:sz w:val="14"/>
                <w:szCs w:val="14"/>
                <w:color w:val="auto"/>
              </w:rPr>
              <w:t>and Chief Operating</w:t>
            </w:r>
          </w:p>
        </w:tc>
        <w:tc>
          <w:tcPr>
            <w:tcW w:w="80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1700" w:type="dxa"/>
            <w:vAlign w:val="bottom"/>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170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3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1700" w:type="dxa"/>
            <w:vAlign w:val="bottom"/>
          </w:tcPr>
          <w:p>
            <w:pPr>
              <w:ind w:left="100"/>
              <w:spacing w:after="0"/>
              <w:rPr>
                <w:sz w:val="20"/>
                <w:szCs w:val="20"/>
                <w:color w:val="auto"/>
              </w:rPr>
            </w:pPr>
            <w:r>
              <w:rPr>
                <w:rFonts w:ascii="Arial" w:cs="Arial" w:eastAsia="Arial" w:hAnsi="Arial"/>
                <w:sz w:val="14"/>
                <w:szCs w:val="14"/>
                <w:color w:val="auto"/>
              </w:rPr>
              <w:t>Officer</w:t>
            </w:r>
          </w:p>
        </w:tc>
        <w:tc>
          <w:tcPr>
            <w:tcW w:w="800" w:type="dxa"/>
            <w:vAlign w:val="bottom"/>
            <w:vMerge w:val="restart"/>
          </w:tcPr>
          <w:p>
            <w:pPr>
              <w:ind w:left="240"/>
              <w:spacing w:after="0"/>
              <w:rPr>
                <w:sz w:val="20"/>
                <w:szCs w:val="20"/>
                <w:color w:val="auto"/>
              </w:rPr>
            </w:pPr>
            <w:r>
              <w:rPr>
                <w:rFonts w:ascii="Arial" w:cs="Arial" w:eastAsia="Arial" w:hAnsi="Arial"/>
                <w:sz w:val="14"/>
                <w:szCs w:val="14"/>
                <w:color w:val="auto"/>
              </w:rPr>
              <w:t>2023</w:t>
            </w: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63,462</w:t>
            </w:r>
          </w:p>
        </w:tc>
        <w:tc>
          <w:tcPr>
            <w:tcW w:w="220" w:type="dxa"/>
            <w:vAlign w:val="bottom"/>
          </w:tcPr>
          <w:p>
            <w:pPr>
              <w:spacing w:after="0"/>
              <w:rPr>
                <w:sz w:val="16"/>
                <w:szCs w:val="16"/>
                <w:color w:val="auto"/>
              </w:rPr>
            </w:pPr>
          </w:p>
        </w:tc>
        <w:tc>
          <w:tcPr>
            <w:tcW w:w="1040" w:type="dxa"/>
            <w:vAlign w:val="bottom"/>
            <w:vMerge w:val="restart"/>
          </w:tcPr>
          <w:p>
            <w:pPr>
              <w:jc w:val="right"/>
              <w:ind w:right="48"/>
              <w:spacing w:after="0"/>
              <w:rPr>
                <w:sz w:val="20"/>
                <w:szCs w:val="20"/>
                <w:color w:val="auto"/>
              </w:rPr>
            </w:pPr>
            <w:r>
              <w:rPr>
                <w:rFonts w:ascii="Arial" w:cs="Arial" w:eastAsia="Arial" w:hAnsi="Arial"/>
                <w:sz w:val="14"/>
                <w:szCs w:val="14"/>
                <w:color w:val="auto"/>
              </w:rPr>
              <w:t>600,000</w:t>
            </w:r>
          </w:p>
        </w:tc>
        <w:tc>
          <w:tcPr>
            <w:tcW w:w="1300" w:type="dxa"/>
            <w:vAlign w:val="bottom"/>
            <w:vMerge w:val="restart"/>
          </w:tcPr>
          <w:p>
            <w:pPr>
              <w:jc w:val="right"/>
              <w:ind w:right="168"/>
              <w:spacing w:after="0"/>
              <w:rPr>
                <w:sz w:val="20"/>
                <w:szCs w:val="20"/>
                <w:color w:val="auto"/>
              </w:rPr>
            </w:pPr>
            <w:r>
              <w:rPr>
                <w:rFonts w:ascii="Arial" w:cs="Arial" w:eastAsia="Arial" w:hAnsi="Arial"/>
                <w:sz w:val="14"/>
                <w:szCs w:val="14"/>
                <w:color w:val="auto"/>
              </w:rPr>
              <w:t>1,446,944</w:t>
            </w:r>
          </w:p>
        </w:tc>
        <w:tc>
          <w:tcPr>
            <w:tcW w:w="900" w:type="dxa"/>
            <w:vAlign w:val="bottom"/>
            <w:vMerge w:val="restart"/>
          </w:tcPr>
          <w:p>
            <w:pPr>
              <w:jc w:val="right"/>
              <w:ind w:right="8"/>
              <w:spacing w:after="0"/>
              <w:rPr>
                <w:sz w:val="20"/>
                <w:szCs w:val="20"/>
                <w:color w:val="auto"/>
              </w:rPr>
            </w:pPr>
            <w:r>
              <w:rPr>
                <w:rFonts w:ascii="Arial" w:cs="Arial" w:eastAsia="Arial" w:hAnsi="Arial"/>
                <w:sz w:val="14"/>
                <w:szCs w:val="14"/>
                <w:color w:val="auto"/>
              </w:rPr>
              <w:t>3,325,598</w:t>
            </w:r>
          </w:p>
        </w:tc>
        <w:tc>
          <w:tcPr>
            <w:tcW w:w="1700" w:type="dxa"/>
            <w:vAlign w:val="bottom"/>
            <w:vMerge w:val="restart"/>
          </w:tcPr>
          <w:p>
            <w:pPr>
              <w:jc w:val="right"/>
              <w:ind w:right="188"/>
              <w:spacing w:after="0"/>
              <w:rPr>
                <w:sz w:val="20"/>
                <w:szCs w:val="20"/>
                <w:color w:val="auto"/>
              </w:rPr>
            </w:pPr>
            <w:r>
              <w:rPr>
                <w:rFonts w:ascii="Arial" w:cs="Arial" w:eastAsia="Arial" w:hAnsi="Arial"/>
                <w:sz w:val="14"/>
                <w:szCs w:val="14"/>
                <w:color w:val="auto"/>
              </w:rPr>
              <w:t>—</w:t>
            </w:r>
          </w:p>
        </w:tc>
        <w:tc>
          <w:tcPr>
            <w:tcW w:w="146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ind w:right="148"/>
              <w:spacing w:after="0"/>
              <w:rPr>
                <w:sz w:val="20"/>
                <w:szCs w:val="20"/>
                <w:color w:val="auto"/>
              </w:rPr>
            </w:pPr>
            <w:r>
              <w:rPr>
                <w:rFonts w:ascii="Arial" w:cs="Arial" w:eastAsia="Arial" w:hAnsi="Arial"/>
                <w:sz w:val="14"/>
                <w:szCs w:val="14"/>
                <w:color w:val="auto"/>
              </w:rPr>
              <w:t>5,436,004</w:t>
            </w:r>
          </w:p>
        </w:tc>
        <w:tc>
          <w:tcPr>
            <w:tcW w:w="0" w:type="dxa"/>
            <w:vAlign w:val="bottom"/>
          </w:tcPr>
          <w:p>
            <w:pPr>
              <w:spacing w:after="0"/>
              <w:rPr>
                <w:sz w:val="1"/>
                <w:szCs w:val="1"/>
                <w:color w:val="auto"/>
              </w:rPr>
            </w:pPr>
          </w:p>
        </w:tc>
      </w:tr>
      <w:tr>
        <w:trPr>
          <w:trHeight w:val="95"/>
        </w:trPr>
        <w:tc>
          <w:tcPr>
            <w:tcW w:w="1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1700" w:type="dxa"/>
            <w:vAlign w:val="bottom"/>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3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70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5"/>
        </w:trPr>
        <w:tc>
          <w:tcPr>
            <w:tcW w:w="1700" w:type="dxa"/>
            <w:vAlign w:val="bottom"/>
            <w:shd w:val="clear" w:color="auto" w:fill="F1F2F2"/>
          </w:tcPr>
          <w:p>
            <w:pPr>
              <w:spacing w:after="0"/>
              <w:rPr>
                <w:sz w:val="23"/>
                <w:szCs w:val="23"/>
                <w:color w:val="auto"/>
              </w:rPr>
            </w:pPr>
          </w:p>
        </w:tc>
        <w:tc>
          <w:tcPr>
            <w:tcW w:w="800" w:type="dxa"/>
            <w:vAlign w:val="bottom"/>
            <w:shd w:val="clear" w:color="auto" w:fill="F1F2F2"/>
          </w:tcPr>
          <w:p>
            <w:pPr>
              <w:ind w:left="240"/>
              <w:spacing w:after="0"/>
              <w:rPr>
                <w:sz w:val="20"/>
                <w:szCs w:val="20"/>
                <w:color w:val="auto"/>
              </w:rPr>
            </w:pPr>
            <w:r>
              <w:rPr>
                <w:rFonts w:ascii="Arial" w:cs="Arial" w:eastAsia="Arial" w:hAnsi="Arial"/>
                <w:sz w:val="14"/>
                <w:szCs w:val="14"/>
                <w:color w:val="auto"/>
              </w:rPr>
              <w:t>2025</w:t>
            </w:r>
          </w:p>
        </w:tc>
        <w:tc>
          <w:tcPr>
            <w:tcW w:w="1040" w:type="dxa"/>
            <w:vAlign w:val="bottom"/>
            <w:shd w:val="clear" w:color="auto" w:fill="F1F2F2"/>
          </w:tcPr>
          <w:p>
            <w:pPr>
              <w:jc w:val="right"/>
              <w:spacing w:after="0"/>
              <w:rPr>
                <w:sz w:val="20"/>
                <w:szCs w:val="20"/>
                <w:color w:val="auto"/>
              </w:rPr>
            </w:pPr>
            <w:r>
              <w:rPr>
                <w:rFonts w:ascii="Arial" w:cs="Arial" w:eastAsia="Arial" w:hAnsi="Arial"/>
                <w:sz w:val="14"/>
                <w:szCs w:val="14"/>
                <w:color w:val="auto"/>
              </w:rPr>
              <w:t>223,012</w:t>
            </w:r>
          </w:p>
        </w:tc>
        <w:tc>
          <w:tcPr>
            <w:tcW w:w="220" w:type="dxa"/>
            <w:vAlign w:val="bottom"/>
            <w:shd w:val="clear" w:color="auto" w:fill="F1F2F2"/>
          </w:tcPr>
          <w:p>
            <w:pPr>
              <w:spacing w:after="0"/>
              <w:rPr>
                <w:sz w:val="23"/>
                <w:szCs w:val="23"/>
                <w:color w:val="auto"/>
              </w:rPr>
            </w:pPr>
          </w:p>
        </w:tc>
        <w:tc>
          <w:tcPr>
            <w:tcW w:w="1040" w:type="dxa"/>
            <w:vAlign w:val="bottom"/>
            <w:shd w:val="clear" w:color="auto" w:fill="F1F2F2"/>
          </w:tcPr>
          <w:p>
            <w:pPr>
              <w:jc w:val="right"/>
              <w:ind w:right="48"/>
              <w:spacing w:after="0"/>
              <w:rPr>
                <w:sz w:val="20"/>
                <w:szCs w:val="20"/>
                <w:color w:val="auto"/>
              </w:rPr>
            </w:pPr>
            <w:r>
              <w:rPr>
                <w:rFonts w:ascii="Arial" w:cs="Arial" w:eastAsia="Arial" w:hAnsi="Arial"/>
                <w:sz w:val="14"/>
                <w:szCs w:val="14"/>
                <w:color w:val="auto"/>
              </w:rPr>
              <w:t>—</w:t>
            </w:r>
          </w:p>
        </w:tc>
        <w:tc>
          <w:tcPr>
            <w:tcW w:w="1300" w:type="dxa"/>
            <w:vAlign w:val="bottom"/>
            <w:shd w:val="clear" w:color="auto" w:fill="F1F2F2"/>
          </w:tcPr>
          <w:p>
            <w:pPr>
              <w:jc w:val="right"/>
              <w:ind w:right="168"/>
              <w:spacing w:after="0"/>
              <w:rPr>
                <w:sz w:val="20"/>
                <w:szCs w:val="20"/>
                <w:color w:val="auto"/>
              </w:rPr>
            </w:pPr>
            <w:r>
              <w:rPr>
                <w:rFonts w:ascii="Arial" w:cs="Arial" w:eastAsia="Arial" w:hAnsi="Arial"/>
                <w:sz w:val="14"/>
                <w:szCs w:val="14"/>
                <w:color w:val="auto"/>
              </w:rPr>
              <w:t>210,006</w:t>
            </w:r>
          </w:p>
        </w:tc>
        <w:tc>
          <w:tcPr>
            <w:tcW w:w="900" w:type="dxa"/>
            <w:vAlign w:val="bottom"/>
            <w:shd w:val="clear" w:color="auto" w:fill="F1F2F2"/>
          </w:tcPr>
          <w:p>
            <w:pPr>
              <w:jc w:val="right"/>
              <w:ind w:right="8"/>
              <w:spacing w:after="0"/>
              <w:rPr>
                <w:sz w:val="20"/>
                <w:szCs w:val="20"/>
                <w:color w:val="auto"/>
              </w:rPr>
            </w:pPr>
            <w:r>
              <w:rPr>
                <w:rFonts w:ascii="Arial" w:cs="Arial" w:eastAsia="Arial" w:hAnsi="Arial"/>
                <w:sz w:val="14"/>
                <w:szCs w:val="14"/>
                <w:color w:val="auto"/>
              </w:rPr>
              <w:t>—</w:t>
            </w:r>
          </w:p>
        </w:tc>
        <w:tc>
          <w:tcPr>
            <w:tcW w:w="1700" w:type="dxa"/>
            <w:vAlign w:val="bottom"/>
            <w:shd w:val="clear" w:color="auto" w:fill="F1F2F2"/>
          </w:tcPr>
          <w:p>
            <w:pPr>
              <w:jc w:val="right"/>
              <w:ind w:right="188"/>
              <w:spacing w:after="0"/>
              <w:rPr>
                <w:sz w:val="20"/>
                <w:szCs w:val="20"/>
                <w:color w:val="auto"/>
              </w:rPr>
            </w:pPr>
            <w:r>
              <w:rPr>
                <w:rFonts w:ascii="Arial" w:cs="Arial" w:eastAsia="Arial" w:hAnsi="Arial"/>
                <w:sz w:val="14"/>
                <w:szCs w:val="14"/>
                <w:color w:val="auto"/>
              </w:rPr>
              <w:t>80,284</w:t>
            </w:r>
          </w:p>
        </w:tc>
        <w:tc>
          <w:tcPr>
            <w:tcW w:w="1460" w:type="dxa"/>
            <w:vAlign w:val="bottom"/>
            <w:shd w:val="clear" w:color="auto" w:fill="F1F2F2"/>
          </w:tcPr>
          <w:p>
            <w:pPr>
              <w:jc w:val="right"/>
              <w:ind w:right="108"/>
              <w:spacing w:after="0"/>
              <w:rPr>
                <w:sz w:val="20"/>
                <w:szCs w:val="20"/>
                <w:color w:val="auto"/>
              </w:rPr>
            </w:pPr>
            <w:r>
              <w:rPr>
                <w:rFonts w:ascii="Arial" w:cs="Arial" w:eastAsia="Arial" w:hAnsi="Arial"/>
                <w:sz w:val="14"/>
                <w:szCs w:val="14"/>
                <w:color w:val="auto"/>
              </w:rPr>
              <w:t>12,878</w:t>
            </w:r>
          </w:p>
        </w:tc>
        <w:tc>
          <w:tcPr>
            <w:tcW w:w="1080" w:type="dxa"/>
            <w:vAlign w:val="bottom"/>
            <w:shd w:val="clear" w:color="auto" w:fill="F1F2F2"/>
          </w:tcPr>
          <w:p>
            <w:pPr>
              <w:jc w:val="right"/>
              <w:ind w:right="148"/>
              <w:spacing w:after="0"/>
              <w:rPr>
                <w:sz w:val="20"/>
                <w:szCs w:val="20"/>
                <w:color w:val="auto"/>
              </w:rPr>
            </w:pPr>
            <w:r>
              <w:rPr>
                <w:rFonts w:ascii="Arial" w:cs="Arial" w:eastAsia="Arial" w:hAnsi="Arial"/>
                <w:sz w:val="14"/>
                <w:szCs w:val="14"/>
                <w:color w:val="auto"/>
              </w:rPr>
              <w:t>526,180</w:t>
            </w:r>
          </w:p>
        </w:tc>
        <w:tc>
          <w:tcPr>
            <w:tcW w:w="0" w:type="dxa"/>
            <w:vAlign w:val="bottom"/>
          </w:tcPr>
          <w:p>
            <w:pPr>
              <w:spacing w:after="0"/>
              <w:rPr>
                <w:sz w:val="1"/>
                <w:szCs w:val="1"/>
                <w:color w:val="auto"/>
              </w:rPr>
            </w:pPr>
          </w:p>
        </w:tc>
      </w:tr>
      <w:tr>
        <w:trPr>
          <w:trHeight w:val="255"/>
        </w:trPr>
        <w:tc>
          <w:tcPr>
            <w:tcW w:w="1700" w:type="dxa"/>
            <w:vAlign w:val="bottom"/>
            <w:shd w:val="clear" w:color="auto" w:fill="F1F2F2"/>
          </w:tcPr>
          <w:p>
            <w:pPr>
              <w:ind w:left="100"/>
              <w:spacing w:after="0"/>
              <w:rPr>
                <w:sz w:val="20"/>
                <w:szCs w:val="20"/>
                <w:color w:val="auto"/>
              </w:rPr>
            </w:pPr>
            <w:r>
              <w:rPr>
                <w:rFonts w:ascii="Arial" w:cs="Arial" w:eastAsia="Arial" w:hAnsi="Arial"/>
                <w:sz w:val="14"/>
                <w:szCs w:val="14"/>
                <w:b w:val="1"/>
                <w:bCs w:val="1"/>
                <w:color w:val="auto"/>
              </w:rPr>
              <w:t>Chankyu Park</w:t>
            </w:r>
          </w:p>
        </w:tc>
        <w:tc>
          <w:tcPr>
            <w:tcW w:w="800" w:type="dxa"/>
            <w:vAlign w:val="bottom"/>
            <w:vMerge w:val="restart"/>
            <w:shd w:val="clear" w:color="auto" w:fill="F1F2F2"/>
          </w:tcPr>
          <w:p>
            <w:pPr>
              <w:ind w:left="240"/>
              <w:spacing w:after="0"/>
              <w:rPr>
                <w:sz w:val="20"/>
                <w:szCs w:val="20"/>
                <w:color w:val="auto"/>
              </w:rPr>
            </w:pPr>
            <w:r>
              <w:rPr>
                <w:rFonts w:ascii="Arial" w:cs="Arial" w:eastAsia="Arial" w:hAnsi="Arial"/>
                <w:sz w:val="14"/>
                <w:szCs w:val="14"/>
                <w:color w:val="auto"/>
              </w:rPr>
              <w:t>2024</w:t>
            </w:r>
          </w:p>
        </w:tc>
        <w:tc>
          <w:tcPr>
            <w:tcW w:w="1040" w:type="dxa"/>
            <w:vAlign w:val="bottom"/>
            <w:vMerge w:val="restart"/>
            <w:shd w:val="clear" w:color="auto" w:fill="F1F2F2"/>
          </w:tcPr>
          <w:p>
            <w:pPr>
              <w:jc w:val="right"/>
              <w:spacing w:after="0"/>
              <w:rPr>
                <w:sz w:val="20"/>
                <w:szCs w:val="20"/>
                <w:color w:val="auto"/>
              </w:rPr>
            </w:pPr>
            <w:r>
              <w:rPr>
                <w:rFonts w:ascii="Arial" w:cs="Arial" w:eastAsia="Arial" w:hAnsi="Arial"/>
                <w:sz w:val="14"/>
                <w:szCs w:val="14"/>
                <w:color w:val="auto"/>
              </w:rPr>
              <w:t>217,687</w:t>
            </w:r>
          </w:p>
        </w:tc>
        <w:tc>
          <w:tcPr>
            <w:tcW w:w="220" w:type="dxa"/>
            <w:vAlign w:val="bottom"/>
            <w:shd w:val="clear" w:color="auto" w:fill="F1F2F2"/>
          </w:tcPr>
          <w:p>
            <w:pPr>
              <w:spacing w:after="0"/>
              <w:rPr>
                <w:sz w:val="22"/>
                <w:szCs w:val="22"/>
                <w:color w:val="auto"/>
              </w:rPr>
            </w:pPr>
          </w:p>
        </w:tc>
        <w:tc>
          <w:tcPr>
            <w:tcW w:w="1040" w:type="dxa"/>
            <w:vAlign w:val="bottom"/>
            <w:vMerge w:val="restart"/>
            <w:shd w:val="clear" w:color="auto" w:fill="F1F2F2"/>
          </w:tcPr>
          <w:p>
            <w:pPr>
              <w:jc w:val="right"/>
              <w:ind w:right="48"/>
              <w:spacing w:after="0"/>
              <w:rPr>
                <w:sz w:val="20"/>
                <w:szCs w:val="20"/>
                <w:color w:val="auto"/>
              </w:rPr>
            </w:pPr>
            <w:r>
              <w:rPr>
                <w:rFonts w:ascii="Arial" w:cs="Arial" w:eastAsia="Arial" w:hAnsi="Arial"/>
                <w:sz w:val="14"/>
                <w:szCs w:val="14"/>
                <w:color w:val="auto"/>
              </w:rPr>
              <w:t>—</w:t>
            </w:r>
          </w:p>
        </w:tc>
        <w:tc>
          <w:tcPr>
            <w:tcW w:w="1300" w:type="dxa"/>
            <w:vAlign w:val="bottom"/>
            <w:vMerge w:val="restart"/>
            <w:shd w:val="clear" w:color="auto" w:fill="F1F2F2"/>
          </w:tcPr>
          <w:p>
            <w:pPr>
              <w:jc w:val="right"/>
              <w:ind w:right="168"/>
              <w:spacing w:after="0"/>
              <w:rPr>
                <w:sz w:val="20"/>
                <w:szCs w:val="20"/>
                <w:color w:val="auto"/>
              </w:rPr>
            </w:pPr>
            <w:r>
              <w:rPr>
                <w:rFonts w:ascii="Arial" w:cs="Arial" w:eastAsia="Arial" w:hAnsi="Arial"/>
                <w:sz w:val="14"/>
                <w:szCs w:val="14"/>
                <w:color w:val="auto"/>
              </w:rPr>
              <w:t>2,319,975</w:t>
            </w:r>
          </w:p>
        </w:tc>
        <w:tc>
          <w:tcPr>
            <w:tcW w:w="900" w:type="dxa"/>
            <w:vAlign w:val="bottom"/>
            <w:vMerge w:val="restart"/>
            <w:shd w:val="clear" w:color="auto" w:fill="F1F2F2"/>
          </w:tcPr>
          <w:p>
            <w:pPr>
              <w:jc w:val="right"/>
              <w:ind w:right="8"/>
              <w:spacing w:after="0"/>
              <w:rPr>
                <w:sz w:val="20"/>
                <w:szCs w:val="20"/>
                <w:color w:val="auto"/>
              </w:rPr>
            </w:pPr>
            <w:r>
              <w:rPr>
                <w:rFonts w:ascii="Arial" w:cs="Arial" w:eastAsia="Arial" w:hAnsi="Arial"/>
                <w:sz w:val="14"/>
                <w:szCs w:val="14"/>
                <w:color w:val="auto"/>
              </w:rPr>
              <w:t>887,534</w:t>
            </w:r>
          </w:p>
        </w:tc>
        <w:tc>
          <w:tcPr>
            <w:tcW w:w="1700" w:type="dxa"/>
            <w:vAlign w:val="bottom"/>
            <w:vMerge w:val="restart"/>
            <w:shd w:val="clear" w:color="auto" w:fill="F1F2F2"/>
          </w:tcPr>
          <w:p>
            <w:pPr>
              <w:jc w:val="right"/>
              <w:ind w:right="188"/>
              <w:spacing w:after="0"/>
              <w:rPr>
                <w:sz w:val="20"/>
                <w:szCs w:val="20"/>
                <w:color w:val="auto"/>
              </w:rPr>
            </w:pPr>
            <w:r>
              <w:rPr>
                <w:rFonts w:ascii="Arial" w:cs="Arial" w:eastAsia="Arial" w:hAnsi="Arial"/>
                <w:sz w:val="14"/>
                <w:szCs w:val="14"/>
                <w:color w:val="auto"/>
              </w:rPr>
              <w:t>117,551</w:t>
            </w:r>
          </w:p>
        </w:tc>
        <w:tc>
          <w:tcPr>
            <w:tcW w:w="1460" w:type="dxa"/>
            <w:vAlign w:val="bottom"/>
            <w:vMerge w:val="restart"/>
            <w:shd w:val="clear" w:color="auto" w:fill="F1F2F2"/>
          </w:tcPr>
          <w:p>
            <w:pPr>
              <w:jc w:val="right"/>
              <w:ind w:right="108"/>
              <w:spacing w:after="0"/>
              <w:rPr>
                <w:sz w:val="20"/>
                <w:szCs w:val="20"/>
                <w:color w:val="auto"/>
              </w:rPr>
            </w:pPr>
            <w:r>
              <w:rPr>
                <w:rFonts w:ascii="Arial" w:cs="Arial" w:eastAsia="Arial" w:hAnsi="Arial"/>
                <w:sz w:val="14"/>
                <w:szCs w:val="14"/>
                <w:color w:val="auto"/>
              </w:rPr>
              <w:t>—</w:t>
            </w:r>
          </w:p>
        </w:tc>
        <w:tc>
          <w:tcPr>
            <w:tcW w:w="1080" w:type="dxa"/>
            <w:vAlign w:val="bottom"/>
            <w:vMerge w:val="restart"/>
            <w:shd w:val="clear" w:color="auto" w:fill="F1F2F2"/>
          </w:tcPr>
          <w:p>
            <w:pPr>
              <w:jc w:val="right"/>
              <w:ind w:right="148"/>
              <w:spacing w:after="0"/>
              <w:rPr>
                <w:sz w:val="20"/>
                <w:szCs w:val="20"/>
                <w:color w:val="auto"/>
              </w:rPr>
            </w:pPr>
            <w:r>
              <w:rPr>
                <w:rFonts w:ascii="Arial" w:cs="Arial" w:eastAsia="Arial" w:hAnsi="Arial"/>
                <w:sz w:val="14"/>
                <w:szCs w:val="14"/>
                <w:color w:val="auto"/>
              </w:rPr>
              <w:t>3,542,747</w:t>
            </w:r>
          </w:p>
        </w:tc>
        <w:tc>
          <w:tcPr>
            <w:tcW w:w="0" w:type="dxa"/>
            <w:vAlign w:val="bottom"/>
          </w:tcPr>
          <w:p>
            <w:pPr>
              <w:spacing w:after="0"/>
              <w:rPr>
                <w:sz w:val="1"/>
                <w:szCs w:val="1"/>
                <w:color w:val="auto"/>
              </w:rPr>
            </w:pPr>
          </w:p>
        </w:tc>
      </w:tr>
      <w:tr>
        <w:trPr>
          <w:trHeight w:val="109"/>
        </w:trPr>
        <w:tc>
          <w:tcPr>
            <w:tcW w:w="1700" w:type="dxa"/>
            <w:vAlign w:val="bottom"/>
            <w:vMerge w:val="restart"/>
            <w:shd w:val="clear" w:color="auto" w:fill="F1F2F2"/>
          </w:tcPr>
          <w:p>
            <w:pPr>
              <w:ind w:left="100"/>
              <w:spacing w:after="0"/>
              <w:rPr>
                <w:sz w:val="20"/>
                <w:szCs w:val="20"/>
                <w:color w:val="auto"/>
              </w:rPr>
            </w:pPr>
            <w:r>
              <w:rPr>
                <w:rFonts w:ascii="Arial" w:cs="Arial" w:eastAsia="Arial" w:hAnsi="Arial"/>
                <w:sz w:val="14"/>
                <w:szCs w:val="14"/>
                <w:color w:val="auto"/>
              </w:rPr>
              <w:t>Chief Technology Officer</w:t>
            </w:r>
          </w:p>
        </w:tc>
        <w:tc>
          <w:tcPr>
            <w:tcW w:w="800" w:type="dxa"/>
            <w:vAlign w:val="bottom"/>
            <w:vMerge w:val="continue"/>
            <w:shd w:val="clear" w:color="auto" w:fill="F1F2F2"/>
          </w:tcPr>
          <w:p>
            <w:pPr>
              <w:spacing w:after="0"/>
              <w:rPr>
                <w:sz w:val="9"/>
                <w:szCs w:val="9"/>
                <w:color w:val="auto"/>
              </w:rPr>
            </w:pPr>
          </w:p>
        </w:tc>
        <w:tc>
          <w:tcPr>
            <w:tcW w:w="1040" w:type="dxa"/>
            <w:vAlign w:val="bottom"/>
            <w:vMerge w:val="continue"/>
            <w:shd w:val="clear" w:color="auto" w:fill="F1F2F2"/>
          </w:tcPr>
          <w:p>
            <w:pPr>
              <w:spacing w:after="0"/>
              <w:rPr>
                <w:sz w:val="9"/>
                <w:szCs w:val="9"/>
                <w:color w:val="auto"/>
              </w:rPr>
            </w:pPr>
          </w:p>
        </w:tc>
        <w:tc>
          <w:tcPr>
            <w:tcW w:w="220" w:type="dxa"/>
            <w:vAlign w:val="bottom"/>
            <w:shd w:val="clear" w:color="auto" w:fill="F1F2F2"/>
          </w:tcPr>
          <w:p>
            <w:pPr>
              <w:spacing w:after="0"/>
              <w:rPr>
                <w:sz w:val="9"/>
                <w:szCs w:val="9"/>
                <w:color w:val="auto"/>
              </w:rPr>
            </w:pPr>
          </w:p>
        </w:tc>
        <w:tc>
          <w:tcPr>
            <w:tcW w:w="1040" w:type="dxa"/>
            <w:vAlign w:val="bottom"/>
            <w:vMerge w:val="continue"/>
            <w:shd w:val="clear" w:color="auto" w:fill="F1F2F2"/>
          </w:tcPr>
          <w:p>
            <w:pPr>
              <w:spacing w:after="0"/>
              <w:rPr>
                <w:sz w:val="9"/>
                <w:szCs w:val="9"/>
                <w:color w:val="auto"/>
              </w:rPr>
            </w:pPr>
          </w:p>
        </w:tc>
        <w:tc>
          <w:tcPr>
            <w:tcW w:w="1300" w:type="dxa"/>
            <w:vAlign w:val="bottom"/>
            <w:vMerge w:val="continue"/>
            <w:shd w:val="clear" w:color="auto" w:fill="F1F2F2"/>
          </w:tcPr>
          <w:p>
            <w:pPr>
              <w:spacing w:after="0"/>
              <w:rPr>
                <w:sz w:val="9"/>
                <w:szCs w:val="9"/>
                <w:color w:val="auto"/>
              </w:rPr>
            </w:pPr>
          </w:p>
        </w:tc>
        <w:tc>
          <w:tcPr>
            <w:tcW w:w="900" w:type="dxa"/>
            <w:vAlign w:val="bottom"/>
            <w:vMerge w:val="continue"/>
            <w:shd w:val="clear" w:color="auto" w:fill="F1F2F2"/>
          </w:tcPr>
          <w:p>
            <w:pPr>
              <w:spacing w:after="0"/>
              <w:rPr>
                <w:sz w:val="9"/>
                <w:szCs w:val="9"/>
                <w:color w:val="auto"/>
              </w:rPr>
            </w:pPr>
          </w:p>
        </w:tc>
        <w:tc>
          <w:tcPr>
            <w:tcW w:w="1700" w:type="dxa"/>
            <w:vAlign w:val="bottom"/>
            <w:vMerge w:val="continue"/>
            <w:shd w:val="clear" w:color="auto" w:fill="F1F2F2"/>
          </w:tcPr>
          <w:p>
            <w:pPr>
              <w:spacing w:after="0"/>
              <w:rPr>
                <w:sz w:val="9"/>
                <w:szCs w:val="9"/>
                <w:color w:val="auto"/>
              </w:rPr>
            </w:pPr>
          </w:p>
        </w:tc>
        <w:tc>
          <w:tcPr>
            <w:tcW w:w="1460" w:type="dxa"/>
            <w:vAlign w:val="bottom"/>
            <w:vMerge w:val="continue"/>
            <w:shd w:val="clear" w:color="auto" w:fill="F1F2F2"/>
          </w:tcPr>
          <w:p>
            <w:pPr>
              <w:spacing w:after="0"/>
              <w:rPr>
                <w:sz w:val="9"/>
                <w:szCs w:val="9"/>
                <w:color w:val="auto"/>
              </w:rPr>
            </w:pPr>
          </w:p>
        </w:tc>
        <w:tc>
          <w:tcPr>
            <w:tcW w:w="1080" w:type="dxa"/>
            <w:vAlign w:val="bottom"/>
            <w:vMerge w:val="continue"/>
            <w:shd w:val="clear" w:color="auto" w:fill="F1F2F2"/>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700" w:type="dxa"/>
            <w:vAlign w:val="bottom"/>
            <w:vMerge w:val="continue"/>
            <w:shd w:val="clear" w:color="auto" w:fill="F1F2F2"/>
          </w:tcPr>
          <w:p>
            <w:pPr>
              <w:spacing w:after="0"/>
              <w:rPr>
                <w:sz w:val="7"/>
                <w:szCs w:val="7"/>
                <w:color w:val="auto"/>
              </w:rPr>
            </w:pPr>
          </w:p>
        </w:tc>
        <w:tc>
          <w:tcPr>
            <w:tcW w:w="800" w:type="dxa"/>
            <w:vAlign w:val="bottom"/>
            <w:shd w:val="clear" w:color="auto" w:fill="F1F2F2"/>
          </w:tcPr>
          <w:p>
            <w:pPr>
              <w:spacing w:after="0"/>
              <w:rPr>
                <w:sz w:val="7"/>
                <w:szCs w:val="7"/>
                <w:color w:val="auto"/>
              </w:rPr>
            </w:pPr>
          </w:p>
        </w:tc>
        <w:tc>
          <w:tcPr>
            <w:tcW w:w="1040" w:type="dxa"/>
            <w:vAlign w:val="bottom"/>
            <w:shd w:val="clear" w:color="auto" w:fill="F1F2F2"/>
          </w:tcPr>
          <w:p>
            <w:pPr>
              <w:spacing w:after="0"/>
              <w:rPr>
                <w:sz w:val="7"/>
                <w:szCs w:val="7"/>
                <w:color w:val="auto"/>
              </w:rPr>
            </w:pPr>
          </w:p>
        </w:tc>
        <w:tc>
          <w:tcPr>
            <w:tcW w:w="220" w:type="dxa"/>
            <w:vAlign w:val="bottom"/>
            <w:shd w:val="clear" w:color="auto" w:fill="F1F2F2"/>
          </w:tcPr>
          <w:p>
            <w:pPr>
              <w:spacing w:after="0"/>
              <w:rPr>
                <w:sz w:val="7"/>
                <w:szCs w:val="7"/>
                <w:color w:val="auto"/>
              </w:rPr>
            </w:pPr>
          </w:p>
        </w:tc>
        <w:tc>
          <w:tcPr>
            <w:tcW w:w="1040" w:type="dxa"/>
            <w:vAlign w:val="bottom"/>
            <w:shd w:val="clear" w:color="auto" w:fill="F1F2F2"/>
          </w:tcPr>
          <w:p>
            <w:pPr>
              <w:spacing w:after="0"/>
              <w:rPr>
                <w:sz w:val="7"/>
                <w:szCs w:val="7"/>
                <w:color w:val="auto"/>
              </w:rPr>
            </w:pPr>
          </w:p>
        </w:tc>
        <w:tc>
          <w:tcPr>
            <w:tcW w:w="1300" w:type="dxa"/>
            <w:vAlign w:val="bottom"/>
            <w:shd w:val="clear" w:color="auto" w:fill="F1F2F2"/>
          </w:tcPr>
          <w:p>
            <w:pPr>
              <w:spacing w:after="0"/>
              <w:rPr>
                <w:sz w:val="7"/>
                <w:szCs w:val="7"/>
                <w:color w:val="auto"/>
              </w:rPr>
            </w:pPr>
          </w:p>
        </w:tc>
        <w:tc>
          <w:tcPr>
            <w:tcW w:w="900" w:type="dxa"/>
            <w:vAlign w:val="bottom"/>
            <w:shd w:val="clear" w:color="auto" w:fill="F1F2F2"/>
          </w:tcPr>
          <w:p>
            <w:pPr>
              <w:spacing w:after="0"/>
              <w:rPr>
                <w:sz w:val="7"/>
                <w:szCs w:val="7"/>
                <w:color w:val="auto"/>
              </w:rPr>
            </w:pPr>
          </w:p>
        </w:tc>
        <w:tc>
          <w:tcPr>
            <w:tcW w:w="1700" w:type="dxa"/>
            <w:vAlign w:val="bottom"/>
            <w:shd w:val="clear" w:color="auto" w:fill="F1F2F2"/>
          </w:tcPr>
          <w:p>
            <w:pPr>
              <w:spacing w:after="0"/>
              <w:rPr>
                <w:sz w:val="7"/>
                <w:szCs w:val="7"/>
                <w:color w:val="auto"/>
              </w:rPr>
            </w:pPr>
          </w:p>
        </w:tc>
        <w:tc>
          <w:tcPr>
            <w:tcW w:w="1460" w:type="dxa"/>
            <w:vAlign w:val="bottom"/>
            <w:shd w:val="clear" w:color="auto" w:fill="F1F2F2"/>
          </w:tcPr>
          <w:p>
            <w:pPr>
              <w:spacing w:after="0"/>
              <w:rPr>
                <w:sz w:val="7"/>
                <w:szCs w:val="7"/>
                <w:color w:val="auto"/>
              </w:rPr>
            </w:pPr>
          </w:p>
        </w:tc>
        <w:tc>
          <w:tcPr>
            <w:tcW w:w="1080" w:type="dxa"/>
            <w:vAlign w:val="bottom"/>
            <w:shd w:val="clear" w:color="auto" w:fill="F1F2F2"/>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1700" w:type="dxa"/>
            <w:vAlign w:val="bottom"/>
            <w:shd w:val="clear" w:color="auto" w:fill="F1F2F2"/>
          </w:tcPr>
          <w:p>
            <w:pPr>
              <w:spacing w:after="0"/>
              <w:rPr>
                <w:sz w:val="24"/>
                <w:szCs w:val="24"/>
                <w:color w:val="auto"/>
              </w:rPr>
            </w:pPr>
          </w:p>
        </w:tc>
        <w:tc>
          <w:tcPr>
            <w:tcW w:w="800" w:type="dxa"/>
            <w:vAlign w:val="bottom"/>
            <w:shd w:val="clear" w:color="auto" w:fill="F1F2F2"/>
          </w:tcPr>
          <w:p>
            <w:pPr>
              <w:ind w:left="240"/>
              <w:spacing w:after="0"/>
              <w:rPr>
                <w:sz w:val="20"/>
                <w:szCs w:val="20"/>
                <w:color w:val="auto"/>
              </w:rPr>
            </w:pPr>
            <w:r>
              <w:rPr>
                <w:rFonts w:ascii="Arial" w:cs="Arial" w:eastAsia="Arial" w:hAnsi="Arial"/>
                <w:sz w:val="14"/>
                <w:szCs w:val="14"/>
                <w:color w:val="auto"/>
              </w:rPr>
              <w:t>2023</w:t>
            </w:r>
          </w:p>
        </w:tc>
        <w:tc>
          <w:tcPr>
            <w:tcW w:w="1040" w:type="dxa"/>
            <w:vAlign w:val="bottom"/>
            <w:shd w:val="clear" w:color="auto" w:fill="F1F2F2"/>
          </w:tcPr>
          <w:p>
            <w:pPr>
              <w:jc w:val="right"/>
              <w:spacing w:after="0"/>
              <w:rPr>
                <w:sz w:val="20"/>
                <w:szCs w:val="20"/>
                <w:color w:val="auto"/>
              </w:rPr>
            </w:pPr>
            <w:r>
              <w:rPr>
                <w:rFonts w:ascii="Arial" w:cs="Arial" w:eastAsia="Arial" w:hAnsi="Arial"/>
                <w:sz w:val="14"/>
                <w:szCs w:val="14"/>
                <w:color w:val="auto"/>
              </w:rPr>
              <w:t>247,093</w:t>
            </w:r>
          </w:p>
        </w:tc>
        <w:tc>
          <w:tcPr>
            <w:tcW w:w="220" w:type="dxa"/>
            <w:vAlign w:val="bottom"/>
            <w:shd w:val="clear" w:color="auto" w:fill="F1F2F2"/>
          </w:tcPr>
          <w:p>
            <w:pPr>
              <w:spacing w:after="0"/>
              <w:rPr>
                <w:sz w:val="24"/>
                <w:szCs w:val="24"/>
                <w:color w:val="auto"/>
              </w:rPr>
            </w:pPr>
          </w:p>
        </w:tc>
        <w:tc>
          <w:tcPr>
            <w:tcW w:w="1040" w:type="dxa"/>
            <w:vAlign w:val="bottom"/>
            <w:shd w:val="clear" w:color="auto" w:fill="F1F2F2"/>
          </w:tcPr>
          <w:p>
            <w:pPr>
              <w:jc w:val="right"/>
              <w:ind w:right="48"/>
              <w:spacing w:after="0"/>
              <w:rPr>
                <w:sz w:val="20"/>
                <w:szCs w:val="20"/>
                <w:color w:val="auto"/>
              </w:rPr>
            </w:pPr>
            <w:r>
              <w:rPr>
                <w:rFonts w:ascii="Arial" w:cs="Arial" w:eastAsia="Arial" w:hAnsi="Arial"/>
                <w:sz w:val="14"/>
                <w:szCs w:val="14"/>
                <w:color w:val="auto"/>
              </w:rPr>
              <w:t>772</w:t>
            </w:r>
          </w:p>
        </w:tc>
        <w:tc>
          <w:tcPr>
            <w:tcW w:w="1300" w:type="dxa"/>
            <w:vAlign w:val="bottom"/>
            <w:shd w:val="clear" w:color="auto" w:fill="F1F2F2"/>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shd w:val="clear" w:color="auto" w:fill="F1F2F2"/>
          </w:tcPr>
          <w:p>
            <w:pPr>
              <w:jc w:val="right"/>
              <w:ind w:right="8"/>
              <w:spacing w:after="0"/>
              <w:rPr>
                <w:sz w:val="20"/>
                <w:szCs w:val="20"/>
                <w:color w:val="auto"/>
              </w:rPr>
            </w:pPr>
            <w:r>
              <w:rPr>
                <w:rFonts w:ascii="Arial" w:cs="Arial" w:eastAsia="Arial" w:hAnsi="Arial"/>
                <w:sz w:val="14"/>
                <w:szCs w:val="14"/>
                <w:color w:val="auto"/>
              </w:rPr>
              <w:t>406,841</w:t>
            </w:r>
          </w:p>
        </w:tc>
        <w:tc>
          <w:tcPr>
            <w:tcW w:w="1700" w:type="dxa"/>
            <w:vAlign w:val="bottom"/>
            <w:shd w:val="clear" w:color="auto" w:fill="F1F2F2"/>
          </w:tcPr>
          <w:p>
            <w:pPr>
              <w:jc w:val="right"/>
              <w:ind w:right="188"/>
              <w:spacing w:after="0"/>
              <w:rPr>
                <w:sz w:val="20"/>
                <w:szCs w:val="20"/>
                <w:color w:val="auto"/>
              </w:rPr>
            </w:pPr>
            <w:r>
              <w:rPr>
                <w:rFonts w:ascii="Arial" w:cs="Arial" w:eastAsia="Arial" w:hAnsi="Arial"/>
                <w:sz w:val="14"/>
                <w:szCs w:val="14"/>
                <w:color w:val="auto"/>
              </w:rPr>
              <w:t>146,711</w:t>
            </w:r>
          </w:p>
        </w:tc>
        <w:tc>
          <w:tcPr>
            <w:tcW w:w="1460" w:type="dxa"/>
            <w:vAlign w:val="bottom"/>
            <w:shd w:val="clear" w:color="auto" w:fill="F1F2F2"/>
          </w:tcPr>
          <w:p>
            <w:pPr>
              <w:jc w:val="right"/>
              <w:ind w:right="108"/>
              <w:spacing w:after="0"/>
              <w:rPr>
                <w:sz w:val="20"/>
                <w:szCs w:val="20"/>
                <w:color w:val="auto"/>
              </w:rPr>
            </w:pPr>
            <w:r>
              <w:rPr>
                <w:rFonts w:ascii="Arial" w:cs="Arial" w:eastAsia="Arial" w:hAnsi="Arial"/>
                <w:sz w:val="14"/>
                <w:szCs w:val="14"/>
                <w:color w:val="auto"/>
              </w:rPr>
              <w:t>—</w:t>
            </w:r>
          </w:p>
        </w:tc>
        <w:tc>
          <w:tcPr>
            <w:tcW w:w="1080" w:type="dxa"/>
            <w:vAlign w:val="bottom"/>
            <w:shd w:val="clear" w:color="auto" w:fill="F1F2F2"/>
          </w:tcPr>
          <w:p>
            <w:pPr>
              <w:jc w:val="right"/>
              <w:ind w:right="148"/>
              <w:spacing w:after="0"/>
              <w:rPr>
                <w:sz w:val="20"/>
                <w:szCs w:val="20"/>
                <w:color w:val="auto"/>
              </w:rPr>
            </w:pPr>
            <w:r>
              <w:rPr>
                <w:rFonts w:ascii="Arial" w:cs="Arial" w:eastAsia="Arial" w:hAnsi="Arial"/>
                <w:sz w:val="14"/>
                <w:szCs w:val="14"/>
                <w:color w:val="auto"/>
              </w:rPr>
              <w:t>801,417</w:t>
            </w:r>
          </w:p>
        </w:tc>
        <w:tc>
          <w:tcPr>
            <w:tcW w:w="0" w:type="dxa"/>
            <w:vAlign w:val="bottom"/>
          </w:tcPr>
          <w:p>
            <w:pPr>
              <w:spacing w:after="0"/>
              <w:rPr>
                <w:sz w:val="1"/>
                <w:szCs w:val="1"/>
                <w:color w:val="auto"/>
              </w:rPr>
            </w:pPr>
          </w:p>
        </w:tc>
      </w:tr>
      <w:tr>
        <w:trPr>
          <w:trHeight w:val="89"/>
        </w:trPr>
        <w:tc>
          <w:tcPr>
            <w:tcW w:w="1700" w:type="dxa"/>
            <w:vAlign w:val="bottom"/>
            <w:shd w:val="clear" w:color="auto" w:fill="F1F2F2"/>
          </w:tcPr>
          <w:p>
            <w:pPr>
              <w:spacing w:after="0"/>
              <w:rPr>
                <w:sz w:val="7"/>
                <w:szCs w:val="7"/>
                <w:color w:val="auto"/>
              </w:rPr>
            </w:pPr>
          </w:p>
        </w:tc>
        <w:tc>
          <w:tcPr>
            <w:tcW w:w="800" w:type="dxa"/>
            <w:vAlign w:val="bottom"/>
            <w:shd w:val="clear" w:color="auto" w:fill="F1F2F2"/>
          </w:tcPr>
          <w:p>
            <w:pPr>
              <w:spacing w:after="0"/>
              <w:rPr>
                <w:sz w:val="7"/>
                <w:szCs w:val="7"/>
                <w:color w:val="auto"/>
              </w:rPr>
            </w:pPr>
          </w:p>
        </w:tc>
        <w:tc>
          <w:tcPr>
            <w:tcW w:w="1040" w:type="dxa"/>
            <w:vAlign w:val="bottom"/>
            <w:shd w:val="clear" w:color="auto" w:fill="F1F2F2"/>
          </w:tcPr>
          <w:p>
            <w:pPr>
              <w:spacing w:after="0"/>
              <w:rPr>
                <w:sz w:val="7"/>
                <w:szCs w:val="7"/>
                <w:color w:val="auto"/>
              </w:rPr>
            </w:pPr>
          </w:p>
        </w:tc>
        <w:tc>
          <w:tcPr>
            <w:tcW w:w="220" w:type="dxa"/>
            <w:vAlign w:val="bottom"/>
            <w:shd w:val="clear" w:color="auto" w:fill="F1F2F2"/>
          </w:tcPr>
          <w:p>
            <w:pPr>
              <w:spacing w:after="0"/>
              <w:rPr>
                <w:sz w:val="7"/>
                <w:szCs w:val="7"/>
                <w:color w:val="auto"/>
              </w:rPr>
            </w:pPr>
          </w:p>
        </w:tc>
        <w:tc>
          <w:tcPr>
            <w:tcW w:w="1040" w:type="dxa"/>
            <w:vAlign w:val="bottom"/>
            <w:shd w:val="clear" w:color="auto" w:fill="F1F2F2"/>
          </w:tcPr>
          <w:p>
            <w:pPr>
              <w:spacing w:after="0"/>
              <w:rPr>
                <w:sz w:val="7"/>
                <w:szCs w:val="7"/>
                <w:color w:val="auto"/>
              </w:rPr>
            </w:pPr>
          </w:p>
        </w:tc>
        <w:tc>
          <w:tcPr>
            <w:tcW w:w="1300" w:type="dxa"/>
            <w:vAlign w:val="bottom"/>
            <w:shd w:val="clear" w:color="auto" w:fill="F1F2F2"/>
          </w:tcPr>
          <w:p>
            <w:pPr>
              <w:spacing w:after="0"/>
              <w:rPr>
                <w:sz w:val="7"/>
                <w:szCs w:val="7"/>
                <w:color w:val="auto"/>
              </w:rPr>
            </w:pPr>
          </w:p>
        </w:tc>
        <w:tc>
          <w:tcPr>
            <w:tcW w:w="900" w:type="dxa"/>
            <w:vAlign w:val="bottom"/>
            <w:shd w:val="clear" w:color="auto" w:fill="F1F2F2"/>
          </w:tcPr>
          <w:p>
            <w:pPr>
              <w:spacing w:after="0"/>
              <w:rPr>
                <w:sz w:val="7"/>
                <w:szCs w:val="7"/>
                <w:color w:val="auto"/>
              </w:rPr>
            </w:pPr>
          </w:p>
        </w:tc>
        <w:tc>
          <w:tcPr>
            <w:tcW w:w="1700" w:type="dxa"/>
            <w:vAlign w:val="bottom"/>
            <w:shd w:val="clear" w:color="auto" w:fill="F1F2F2"/>
          </w:tcPr>
          <w:p>
            <w:pPr>
              <w:spacing w:after="0"/>
              <w:rPr>
                <w:sz w:val="7"/>
                <w:szCs w:val="7"/>
                <w:color w:val="auto"/>
              </w:rPr>
            </w:pPr>
          </w:p>
        </w:tc>
        <w:tc>
          <w:tcPr>
            <w:tcW w:w="1460" w:type="dxa"/>
            <w:vAlign w:val="bottom"/>
            <w:shd w:val="clear" w:color="auto" w:fill="F1F2F2"/>
          </w:tcPr>
          <w:p>
            <w:pPr>
              <w:spacing w:after="0"/>
              <w:rPr>
                <w:sz w:val="7"/>
                <w:szCs w:val="7"/>
                <w:color w:val="auto"/>
              </w:rPr>
            </w:pPr>
          </w:p>
        </w:tc>
        <w:tc>
          <w:tcPr>
            <w:tcW w:w="1080" w:type="dxa"/>
            <w:vAlign w:val="bottom"/>
            <w:shd w:val="clear" w:color="auto" w:fill="F1F2F2"/>
          </w:tcPr>
          <w:p>
            <w:pPr>
              <w:spacing w:after="0"/>
              <w:rPr>
                <w:sz w:val="7"/>
                <w:szCs w:val="7"/>
                <w:color w:val="auto"/>
              </w:rPr>
            </w:pPr>
          </w:p>
        </w:tc>
        <w:tc>
          <w:tcPr>
            <w:tcW w:w="0" w:type="dxa"/>
            <w:vAlign w:val="bottom"/>
          </w:tcPr>
          <w:p>
            <w:pPr>
              <w:spacing w:after="0"/>
              <w:rPr>
                <w:sz w:val="1"/>
                <w:szCs w:val="1"/>
                <w:color w:val="auto"/>
              </w:rPr>
            </w:pPr>
          </w:p>
        </w:tc>
      </w:tr>
      <w:tr>
        <w:trPr>
          <w:trHeight w:val="275"/>
        </w:trPr>
        <w:tc>
          <w:tcPr>
            <w:tcW w:w="170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Yongsoo Kim</w:t>
            </w:r>
          </w:p>
        </w:tc>
        <w:tc>
          <w:tcPr>
            <w:tcW w:w="800" w:type="dxa"/>
            <w:vAlign w:val="bottom"/>
          </w:tcPr>
          <w:p>
            <w:pPr>
              <w:ind w:left="240"/>
              <w:spacing w:after="0"/>
              <w:rPr>
                <w:sz w:val="20"/>
                <w:szCs w:val="20"/>
                <w:color w:val="auto"/>
              </w:rPr>
            </w:pPr>
            <w:r>
              <w:rPr>
                <w:rFonts w:ascii="Arial" w:cs="Arial" w:eastAsia="Arial" w:hAnsi="Arial"/>
                <w:sz w:val="14"/>
                <w:szCs w:val="14"/>
                <w:color w:val="auto"/>
              </w:rPr>
              <w:t>2025</w:t>
            </w:r>
          </w:p>
        </w:tc>
        <w:tc>
          <w:tcPr>
            <w:tcW w:w="1040" w:type="dxa"/>
            <w:vAlign w:val="bottom"/>
          </w:tcPr>
          <w:p>
            <w:pPr>
              <w:jc w:val="right"/>
              <w:spacing w:after="0"/>
              <w:rPr>
                <w:sz w:val="20"/>
                <w:szCs w:val="20"/>
                <w:color w:val="auto"/>
              </w:rPr>
            </w:pPr>
            <w:r>
              <w:rPr>
                <w:rFonts w:ascii="Arial" w:cs="Arial" w:eastAsia="Arial" w:hAnsi="Arial"/>
                <w:sz w:val="14"/>
                <w:szCs w:val="14"/>
                <w:color w:val="auto"/>
              </w:rPr>
              <w:t>209,074</w:t>
            </w:r>
          </w:p>
        </w:tc>
        <w:tc>
          <w:tcPr>
            <w:tcW w:w="220" w:type="dxa"/>
            <w:vAlign w:val="bottom"/>
          </w:tcPr>
          <w:p>
            <w:pPr>
              <w:spacing w:after="0"/>
              <w:rPr>
                <w:sz w:val="23"/>
                <w:szCs w:val="23"/>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168"/>
              <w:spacing w:after="0"/>
              <w:rPr>
                <w:sz w:val="20"/>
                <w:szCs w:val="20"/>
                <w:color w:val="auto"/>
              </w:rPr>
            </w:pPr>
            <w:r>
              <w:rPr>
                <w:rFonts w:ascii="Arial" w:cs="Arial" w:eastAsia="Arial" w:hAnsi="Arial"/>
                <w:sz w:val="14"/>
                <w:szCs w:val="14"/>
                <w:color w:val="auto"/>
              </w:rPr>
              <w:t>241,511</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700" w:type="dxa"/>
            <w:vAlign w:val="bottom"/>
          </w:tcPr>
          <w:p>
            <w:pPr>
              <w:jc w:val="right"/>
              <w:ind w:right="188"/>
              <w:spacing w:after="0"/>
              <w:rPr>
                <w:sz w:val="20"/>
                <w:szCs w:val="20"/>
                <w:color w:val="auto"/>
              </w:rPr>
            </w:pPr>
            <w:r>
              <w:rPr>
                <w:rFonts w:ascii="Arial" w:cs="Arial" w:eastAsia="Arial" w:hAnsi="Arial"/>
                <w:sz w:val="14"/>
                <w:szCs w:val="14"/>
                <w:color w:val="auto"/>
              </w:rPr>
              <w:t>105,573</w:t>
            </w:r>
          </w:p>
        </w:tc>
        <w:tc>
          <w:tcPr>
            <w:tcW w:w="1460" w:type="dxa"/>
            <w:vAlign w:val="bottom"/>
          </w:tcPr>
          <w:p>
            <w:pPr>
              <w:jc w:val="right"/>
              <w:ind w:right="108"/>
              <w:spacing w:after="0"/>
              <w:rPr>
                <w:sz w:val="20"/>
                <w:szCs w:val="20"/>
                <w:color w:val="auto"/>
              </w:rPr>
            </w:pPr>
            <w:r>
              <w:rPr>
                <w:rFonts w:ascii="Arial" w:cs="Arial" w:eastAsia="Arial" w:hAnsi="Arial"/>
                <w:sz w:val="14"/>
                <w:szCs w:val="14"/>
                <w:color w:val="auto"/>
              </w:rPr>
              <w:t>137,761</w:t>
            </w:r>
          </w:p>
        </w:tc>
        <w:tc>
          <w:tcPr>
            <w:tcW w:w="1080" w:type="dxa"/>
            <w:vAlign w:val="bottom"/>
          </w:tcPr>
          <w:p>
            <w:pPr>
              <w:jc w:val="right"/>
              <w:ind w:right="148"/>
              <w:spacing w:after="0"/>
              <w:rPr>
                <w:sz w:val="20"/>
                <w:szCs w:val="20"/>
                <w:color w:val="auto"/>
              </w:rPr>
            </w:pPr>
            <w:r>
              <w:rPr>
                <w:rFonts w:ascii="Arial" w:cs="Arial" w:eastAsia="Arial" w:hAnsi="Arial"/>
                <w:sz w:val="14"/>
                <w:szCs w:val="14"/>
                <w:color w:val="auto"/>
              </w:rPr>
              <w:t>693,919</w:t>
            </w:r>
          </w:p>
        </w:tc>
        <w:tc>
          <w:tcPr>
            <w:tcW w:w="0" w:type="dxa"/>
            <w:vAlign w:val="bottom"/>
          </w:tcPr>
          <w:p>
            <w:pPr>
              <w:spacing w:after="0"/>
              <w:rPr>
                <w:sz w:val="1"/>
                <w:szCs w:val="1"/>
                <w:color w:val="auto"/>
              </w:rPr>
            </w:pPr>
          </w:p>
        </w:tc>
      </w:tr>
      <w:tr>
        <w:trPr>
          <w:trHeight w:val="93"/>
        </w:trPr>
        <w:tc>
          <w:tcPr>
            <w:tcW w:w="1700" w:type="dxa"/>
            <w:vAlign w:val="bottom"/>
            <w:vMerge w:val="continue"/>
          </w:tcPr>
          <w:p>
            <w:pPr>
              <w:spacing w:after="0"/>
              <w:rPr>
                <w:sz w:val="8"/>
                <w:szCs w:val="8"/>
                <w:color w:val="auto"/>
              </w:rPr>
            </w:pPr>
          </w:p>
        </w:tc>
        <w:tc>
          <w:tcPr>
            <w:tcW w:w="8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1700" w:type="dxa"/>
            <w:vAlign w:val="bottom"/>
          </w:tcPr>
          <w:p>
            <w:pPr>
              <w:ind w:left="100"/>
              <w:spacing w:after="0"/>
              <w:rPr>
                <w:sz w:val="20"/>
                <w:szCs w:val="20"/>
                <w:color w:val="auto"/>
              </w:rPr>
            </w:pPr>
            <w:r>
              <w:rPr>
                <w:rFonts w:ascii="Arial" w:cs="Arial" w:eastAsia="Arial" w:hAnsi="Arial"/>
                <w:sz w:val="14"/>
                <w:szCs w:val="14"/>
                <w:color w:val="auto"/>
              </w:rPr>
              <w:t>Chief Strategy Officer &amp;</w:t>
            </w:r>
          </w:p>
        </w:tc>
        <w:tc>
          <w:tcPr>
            <w:tcW w:w="800" w:type="dxa"/>
            <w:vAlign w:val="bottom"/>
            <w:vMerge w:val="restart"/>
          </w:tcPr>
          <w:p>
            <w:pPr>
              <w:ind w:left="240"/>
              <w:spacing w:after="0"/>
              <w:rPr>
                <w:sz w:val="20"/>
                <w:szCs w:val="20"/>
                <w:color w:val="auto"/>
              </w:rPr>
            </w:pPr>
            <w:r>
              <w:rPr>
                <w:rFonts w:ascii="Arial" w:cs="Arial" w:eastAsia="Arial" w:hAnsi="Arial"/>
                <w:sz w:val="14"/>
                <w:szCs w:val="14"/>
                <w:color w:val="auto"/>
              </w:rPr>
              <w:t>2024</w:t>
            </w: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142,857</w:t>
            </w:r>
          </w:p>
        </w:tc>
        <w:tc>
          <w:tcPr>
            <w:tcW w:w="220" w:type="dxa"/>
            <w:vAlign w:val="bottom"/>
          </w:tcPr>
          <w:p>
            <w:pPr>
              <w:spacing w:after="0"/>
              <w:rPr>
                <w:sz w:val="15"/>
                <w:szCs w:val="15"/>
                <w:color w:val="auto"/>
              </w:rPr>
            </w:pPr>
          </w:p>
        </w:tc>
        <w:tc>
          <w:tcPr>
            <w:tcW w:w="104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300" w:type="dxa"/>
            <w:vAlign w:val="bottom"/>
            <w:vMerge w:val="restart"/>
          </w:tcPr>
          <w:p>
            <w:pPr>
              <w:jc w:val="right"/>
              <w:ind w:right="168"/>
              <w:spacing w:after="0"/>
              <w:rPr>
                <w:sz w:val="20"/>
                <w:szCs w:val="20"/>
                <w:color w:val="auto"/>
              </w:rPr>
            </w:pPr>
            <w:r>
              <w:rPr>
                <w:rFonts w:ascii="Arial" w:cs="Arial" w:eastAsia="Arial" w:hAnsi="Arial"/>
                <w:sz w:val="14"/>
                <w:szCs w:val="14"/>
                <w:color w:val="auto"/>
              </w:rPr>
              <w:t>2,319,975</w:t>
            </w:r>
          </w:p>
        </w:tc>
        <w:tc>
          <w:tcPr>
            <w:tcW w:w="900" w:type="dxa"/>
            <w:vAlign w:val="bottom"/>
            <w:vMerge w:val="restart"/>
          </w:tcPr>
          <w:p>
            <w:pPr>
              <w:jc w:val="right"/>
              <w:ind w:right="8"/>
              <w:spacing w:after="0"/>
              <w:rPr>
                <w:sz w:val="20"/>
                <w:szCs w:val="20"/>
                <w:color w:val="auto"/>
              </w:rPr>
            </w:pPr>
            <w:r>
              <w:rPr>
                <w:rFonts w:ascii="Arial" w:cs="Arial" w:eastAsia="Arial" w:hAnsi="Arial"/>
                <w:sz w:val="14"/>
                <w:szCs w:val="14"/>
                <w:color w:val="auto"/>
              </w:rPr>
              <w:t>304,080</w:t>
            </w:r>
          </w:p>
        </w:tc>
        <w:tc>
          <w:tcPr>
            <w:tcW w:w="1700" w:type="dxa"/>
            <w:vAlign w:val="bottom"/>
            <w:vMerge w:val="restart"/>
          </w:tcPr>
          <w:p>
            <w:pPr>
              <w:jc w:val="right"/>
              <w:ind w:right="188"/>
              <w:spacing w:after="0"/>
              <w:rPr>
                <w:sz w:val="20"/>
                <w:szCs w:val="20"/>
                <w:color w:val="auto"/>
              </w:rPr>
            </w:pPr>
            <w:r>
              <w:rPr>
                <w:rFonts w:ascii="Arial" w:cs="Arial" w:eastAsia="Arial" w:hAnsi="Arial"/>
                <w:sz w:val="14"/>
                <w:szCs w:val="14"/>
                <w:color w:val="auto"/>
              </w:rPr>
              <w:t>95,238</w:t>
            </w:r>
          </w:p>
        </w:tc>
        <w:tc>
          <w:tcPr>
            <w:tcW w:w="146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ind w:right="148"/>
              <w:spacing w:after="0"/>
              <w:rPr>
                <w:sz w:val="20"/>
                <w:szCs w:val="20"/>
                <w:color w:val="auto"/>
              </w:rPr>
            </w:pPr>
            <w:r>
              <w:rPr>
                <w:rFonts w:ascii="Arial" w:cs="Arial" w:eastAsia="Arial" w:hAnsi="Arial"/>
                <w:sz w:val="14"/>
                <w:szCs w:val="14"/>
                <w:color w:val="auto"/>
              </w:rPr>
              <w:t>2,862,150</w:t>
            </w:r>
          </w:p>
        </w:tc>
        <w:tc>
          <w:tcPr>
            <w:tcW w:w="0" w:type="dxa"/>
            <w:vAlign w:val="bottom"/>
          </w:tcPr>
          <w:p>
            <w:pPr>
              <w:spacing w:after="0"/>
              <w:rPr>
                <w:sz w:val="1"/>
                <w:szCs w:val="1"/>
                <w:color w:val="auto"/>
              </w:rPr>
            </w:pPr>
          </w:p>
        </w:tc>
      </w:tr>
      <w:tr>
        <w:trPr>
          <w:trHeight w:val="96"/>
        </w:trPr>
        <w:tc>
          <w:tcPr>
            <w:tcW w:w="1700" w:type="dxa"/>
            <w:vAlign w:val="bottom"/>
            <w:vMerge w:val="restart"/>
          </w:tcPr>
          <w:p>
            <w:pPr>
              <w:ind w:left="100"/>
              <w:spacing w:after="0"/>
              <w:rPr>
                <w:sz w:val="20"/>
                <w:szCs w:val="20"/>
                <w:color w:val="auto"/>
              </w:rPr>
            </w:pPr>
            <w:r>
              <w:rPr>
                <w:rFonts w:ascii="Arial" w:cs="Arial" w:eastAsia="Arial" w:hAnsi="Arial"/>
                <w:sz w:val="14"/>
                <w:szCs w:val="14"/>
                <w:color w:val="auto"/>
              </w:rPr>
              <w:t>Head of Global</w:t>
            </w:r>
          </w:p>
        </w:tc>
        <w:tc>
          <w:tcPr>
            <w:tcW w:w="80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1700" w:type="dxa"/>
            <w:vAlign w:val="bottom"/>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170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3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1700" w:type="dxa"/>
            <w:vAlign w:val="bottom"/>
          </w:tcPr>
          <w:p>
            <w:pPr>
              <w:ind w:left="100"/>
              <w:spacing w:after="0"/>
              <w:rPr>
                <w:sz w:val="20"/>
                <w:szCs w:val="20"/>
                <w:color w:val="auto"/>
              </w:rPr>
            </w:pPr>
            <w:r>
              <w:rPr>
                <w:rFonts w:ascii="Arial" w:cs="Arial" w:eastAsia="Arial" w:hAnsi="Arial"/>
                <w:sz w:val="14"/>
                <w:szCs w:val="14"/>
                <w:color w:val="auto"/>
              </w:rPr>
              <w:t>WEBTOON</w:t>
            </w:r>
          </w:p>
        </w:tc>
        <w:tc>
          <w:tcPr>
            <w:tcW w:w="800" w:type="dxa"/>
            <w:vAlign w:val="bottom"/>
            <w:vMerge w:val="restart"/>
          </w:tcPr>
          <w:p>
            <w:pPr>
              <w:ind w:left="240"/>
              <w:spacing w:after="0"/>
              <w:rPr>
                <w:sz w:val="20"/>
                <w:szCs w:val="20"/>
                <w:color w:val="auto"/>
              </w:rPr>
            </w:pPr>
            <w:r>
              <w:rPr>
                <w:rFonts w:ascii="Arial" w:cs="Arial" w:eastAsia="Arial" w:hAnsi="Arial"/>
                <w:sz w:val="14"/>
                <w:szCs w:val="14"/>
                <w:color w:val="auto"/>
              </w:rPr>
              <w:t>2023</w:t>
            </w:r>
          </w:p>
        </w:tc>
        <w:tc>
          <w:tcPr>
            <w:tcW w:w="126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300" w:type="dxa"/>
            <w:vAlign w:val="bottom"/>
            <w:vMerge w:val="restart"/>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700" w:type="dxa"/>
            <w:vAlign w:val="bottom"/>
            <w:vMerge w:val="restart"/>
          </w:tcPr>
          <w:p>
            <w:pPr>
              <w:jc w:val="right"/>
              <w:ind w:right="188"/>
              <w:spacing w:after="0"/>
              <w:rPr>
                <w:sz w:val="20"/>
                <w:szCs w:val="20"/>
                <w:color w:val="auto"/>
              </w:rPr>
            </w:pPr>
            <w:r>
              <w:rPr>
                <w:rFonts w:ascii="Arial" w:cs="Arial" w:eastAsia="Arial" w:hAnsi="Arial"/>
                <w:sz w:val="14"/>
                <w:szCs w:val="14"/>
                <w:color w:val="auto"/>
              </w:rPr>
              <w:t>—</w:t>
            </w:r>
          </w:p>
        </w:tc>
        <w:tc>
          <w:tcPr>
            <w:tcW w:w="146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ind w:right="1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5"/>
        </w:trPr>
        <w:tc>
          <w:tcPr>
            <w:tcW w:w="1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1700" w:type="dxa"/>
            <w:vAlign w:val="bottom"/>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3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70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5"/>
        </w:trPr>
        <w:tc>
          <w:tcPr>
            <w:tcW w:w="1700" w:type="dxa"/>
            <w:vAlign w:val="bottom"/>
            <w:shd w:val="clear" w:color="auto" w:fill="F1F2F2"/>
          </w:tcPr>
          <w:p>
            <w:pPr>
              <w:spacing w:after="0"/>
              <w:rPr>
                <w:sz w:val="23"/>
                <w:szCs w:val="23"/>
                <w:color w:val="auto"/>
              </w:rPr>
            </w:pPr>
          </w:p>
        </w:tc>
        <w:tc>
          <w:tcPr>
            <w:tcW w:w="800" w:type="dxa"/>
            <w:vAlign w:val="bottom"/>
            <w:shd w:val="clear" w:color="auto" w:fill="F1F2F2"/>
          </w:tcPr>
          <w:p>
            <w:pPr>
              <w:ind w:left="240"/>
              <w:spacing w:after="0"/>
              <w:rPr>
                <w:sz w:val="20"/>
                <w:szCs w:val="20"/>
                <w:color w:val="auto"/>
              </w:rPr>
            </w:pPr>
            <w:r>
              <w:rPr>
                <w:rFonts w:ascii="Arial" w:cs="Arial" w:eastAsia="Arial" w:hAnsi="Arial"/>
                <w:sz w:val="14"/>
                <w:szCs w:val="14"/>
                <w:color w:val="auto"/>
              </w:rPr>
              <w:t>2025</w:t>
            </w:r>
          </w:p>
        </w:tc>
        <w:tc>
          <w:tcPr>
            <w:tcW w:w="1040" w:type="dxa"/>
            <w:vAlign w:val="bottom"/>
            <w:shd w:val="clear" w:color="auto" w:fill="F1F2F2"/>
          </w:tcPr>
          <w:p>
            <w:pPr>
              <w:jc w:val="right"/>
              <w:spacing w:after="0"/>
              <w:rPr>
                <w:sz w:val="20"/>
                <w:szCs w:val="20"/>
                <w:color w:val="auto"/>
              </w:rPr>
            </w:pPr>
            <w:r>
              <w:rPr>
                <w:rFonts w:ascii="Arial" w:cs="Arial" w:eastAsia="Arial" w:hAnsi="Arial"/>
                <w:sz w:val="14"/>
                <w:szCs w:val="14"/>
                <w:color w:val="auto"/>
              </w:rPr>
              <w:t>150,742</w:t>
            </w:r>
          </w:p>
        </w:tc>
        <w:tc>
          <w:tcPr>
            <w:tcW w:w="220" w:type="dxa"/>
            <w:vAlign w:val="bottom"/>
            <w:shd w:val="clear" w:color="auto" w:fill="F1F2F2"/>
          </w:tcPr>
          <w:p>
            <w:pPr>
              <w:spacing w:after="0"/>
              <w:rPr>
                <w:sz w:val="23"/>
                <w:szCs w:val="23"/>
                <w:color w:val="auto"/>
              </w:rPr>
            </w:pPr>
          </w:p>
        </w:tc>
        <w:tc>
          <w:tcPr>
            <w:tcW w:w="1040" w:type="dxa"/>
            <w:vAlign w:val="bottom"/>
            <w:shd w:val="clear" w:color="auto" w:fill="F1F2F2"/>
          </w:tcPr>
          <w:p>
            <w:pPr>
              <w:jc w:val="right"/>
              <w:ind w:right="48"/>
              <w:spacing w:after="0"/>
              <w:rPr>
                <w:sz w:val="20"/>
                <w:szCs w:val="20"/>
                <w:color w:val="auto"/>
              </w:rPr>
            </w:pPr>
            <w:r>
              <w:rPr>
                <w:rFonts w:ascii="Arial" w:cs="Arial" w:eastAsia="Arial" w:hAnsi="Arial"/>
                <w:sz w:val="14"/>
                <w:szCs w:val="14"/>
                <w:color w:val="auto"/>
              </w:rPr>
              <w:t>—</w:t>
            </w:r>
          </w:p>
        </w:tc>
        <w:tc>
          <w:tcPr>
            <w:tcW w:w="1300" w:type="dxa"/>
            <w:vAlign w:val="bottom"/>
            <w:shd w:val="clear" w:color="auto" w:fill="F1F2F2"/>
          </w:tcPr>
          <w:p>
            <w:pPr>
              <w:jc w:val="right"/>
              <w:ind w:right="168"/>
              <w:spacing w:after="0"/>
              <w:rPr>
                <w:sz w:val="20"/>
                <w:szCs w:val="20"/>
                <w:color w:val="auto"/>
              </w:rPr>
            </w:pPr>
            <w:r>
              <w:rPr>
                <w:rFonts w:ascii="Arial" w:cs="Arial" w:eastAsia="Arial" w:hAnsi="Arial"/>
                <w:sz w:val="14"/>
                <w:szCs w:val="14"/>
                <w:color w:val="auto"/>
              </w:rPr>
              <w:t>168,009</w:t>
            </w:r>
          </w:p>
        </w:tc>
        <w:tc>
          <w:tcPr>
            <w:tcW w:w="900" w:type="dxa"/>
            <w:vAlign w:val="bottom"/>
            <w:shd w:val="clear" w:color="auto" w:fill="F1F2F2"/>
          </w:tcPr>
          <w:p>
            <w:pPr>
              <w:jc w:val="right"/>
              <w:ind w:right="8"/>
              <w:spacing w:after="0"/>
              <w:rPr>
                <w:sz w:val="20"/>
                <w:szCs w:val="20"/>
                <w:color w:val="auto"/>
              </w:rPr>
            </w:pPr>
            <w:r>
              <w:rPr>
                <w:rFonts w:ascii="Arial" w:cs="Arial" w:eastAsia="Arial" w:hAnsi="Arial"/>
                <w:sz w:val="14"/>
                <w:szCs w:val="14"/>
                <w:color w:val="auto"/>
              </w:rPr>
              <w:t>—</w:t>
            </w:r>
          </w:p>
        </w:tc>
        <w:tc>
          <w:tcPr>
            <w:tcW w:w="1700" w:type="dxa"/>
            <w:vAlign w:val="bottom"/>
            <w:shd w:val="clear" w:color="auto" w:fill="F1F2F2"/>
          </w:tcPr>
          <w:p>
            <w:pPr>
              <w:jc w:val="right"/>
              <w:ind w:right="188"/>
              <w:spacing w:after="0"/>
              <w:rPr>
                <w:sz w:val="20"/>
                <w:szCs w:val="20"/>
                <w:color w:val="auto"/>
              </w:rPr>
            </w:pPr>
            <w:r>
              <w:rPr>
                <w:rFonts w:ascii="Arial" w:cs="Arial" w:eastAsia="Arial" w:hAnsi="Arial"/>
                <w:sz w:val="14"/>
                <w:szCs w:val="14"/>
                <w:color w:val="auto"/>
              </w:rPr>
              <w:t>68,966</w:t>
            </w:r>
          </w:p>
        </w:tc>
        <w:tc>
          <w:tcPr>
            <w:tcW w:w="1460" w:type="dxa"/>
            <w:vAlign w:val="bottom"/>
            <w:shd w:val="clear" w:color="auto" w:fill="F1F2F2"/>
          </w:tcPr>
          <w:p>
            <w:pPr>
              <w:jc w:val="right"/>
              <w:ind w:right="108"/>
              <w:spacing w:after="0"/>
              <w:rPr>
                <w:sz w:val="20"/>
                <w:szCs w:val="20"/>
                <w:color w:val="auto"/>
              </w:rPr>
            </w:pPr>
            <w:r>
              <w:rPr>
                <w:rFonts w:ascii="Arial" w:cs="Arial" w:eastAsia="Arial" w:hAnsi="Arial"/>
                <w:sz w:val="14"/>
                <w:szCs w:val="14"/>
                <w:color w:val="auto"/>
              </w:rPr>
              <w:t>—</w:t>
            </w:r>
          </w:p>
        </w:tc>
        <w:tc>
          <w:tcPr>
            <w:tcW w:w="1080" w:type="dxa"/>
            <w:vAlign w:val="bottom"/>
            <w:shd w:val="clear" w:color="auto" w:fill="F1F2F2"/>
          </w:tcPr>
          <w:p>
            <w:pPr>
              <w:jc w:val="right"/>
              <w:ind w:right="148"/>
              <w:spacing w:after="0"/>
              <w:rPr>
                <w:sz w:val="20"/>
                <w:szCs w:val="20"/>
                <w:color w:val="auto"/>
              </w:rPr>
            </w:pPr>
            <w:r>
              <w:rPr>
                <w:rFonts w:ascii="Arial" w:cs="Arial" w:eastAsia="Arial" w:hAnsi="Arial"/>
                <w:sz w:val="14"/>
                <w:szCs w:val="14"/>
                <w:color w:val="auto"/>
              </w:rPr>
              <w:t>387,717</w:t>
            </w:r>
          </w:p>
        </w:tc>
        <w:tc>
          <w:tcPr>
            <w:tcW w:w="0" w:type="dxa"/>
            <w:vAlign w:val="bottom"/>
          </w:tcPr>
          <w:p>
            <w:pPr>
              <w:spacing w:after="0"/>
              <w:rPr>
                <w:sz w:val="1"/>
                <w:szCs w:val="1"/>
                <w:color w:val="auto"/>
              </w:rPr>
            </w:pPr>
          </w:p>
        </w:tc>
      </w:tr>
      <w:tr>
        <w:trPr>
          <w:trHeight w:val="255"/>
        </w:trPr>
        <w:tc>
          <w:tcPr>
            <w:tcW w:w="1700" w:type="dxa"/>
            <w:vAlign w:val="bottom"/>
            <w:shd w:val="clear" w:color="auto" w:fill="F1F2F2"/>
          </w:tcPr>
          <w:p>
            <w:pPr>
              <w:ind w:left="100"/>
              <w:spacing w:after="0"/>
              <w:rPr>
                <w:sz w:val="20"/>
                <w:szCs w:val="20"/>
                <w:color w:val="auto"/>
              </w:rPr>
            </w:pPr>
            <w:r>
              <w:rPr>
                <w:rFonts w:ascii="Arial" w:cs="Arial" w:eastAsia="Arial" w:hAnsi="Arial"/>
                <w:sz w:val="14"/>
                <w:szCs w:val="14"/>
                <w:b w:val="1"/>
                <w:bCs w:val="1"/>
                <w:color w:val="auto"/>
              </w:rPr>
              <w:t>Hyeeun Son</w:t>
            </w:r>
          </w:p>
        </w:tc>
        <w:tc>
          <w:tcPr>
            <w:tcW w:w="800" w:type="dxa"/>
            <w:vAlign w:val="bottom"/>
            <w:vMerge w:val="restart"/>
            <w:shd w:val="clear" w:color="auto" w:fill="F1F2F2"/>
          </w:tcPr>
          <w:p>
            <w:pPr>
              <w:ind w:left="240"/>
              <w:spacing w:after="0"/>
              <w:rPr>
                <w:sz w:val="20"/>
                <w:szCs w:val="20"/>
                <w:color w:val="auto"/>
              </w:rPr>
            </w:pPr>
            <w:r>
              <w:rPr>
                <w:rFonts w:ascii="Arial" w:cs="Arial" w:eastAsia="Arial" w:hAnsi="Arial"/>
                <w:sz w:val="14"/>
                <w:szCs w:val="14"/>
                <w:color w:val="auto"/>
              </w:rPr>
              <w:t>2024</w:t>
            </w:r>
          </w:p>
        </w:tc>
        <w:tc>
          <w:tcPr>
            <w:tcW w:w="1040" w:type="dxa"/>
            <w:vAlign w:val="bottom"/>
            <w:vMerge w:val="restart"/>
            <w:shd w:val="clear" w:color="auto" w:fill="F1F2F2"/>
          </w:tcPr>
          <w:p>
            <w:pPr>
              <w:jc w:val="right"/>
              <w:spacing w:after="0"/>
              <w:rPr>
                <w:sz w:val="20"/>
                <w:szCs w:val="20"/>
                <w:color w:val="auto"/>
              </w:rPr>
            </w:pPr>
            <w:r>
              <w:rPr>
                <w:rFonts w:ascii="Arial" w:cs="Arial" w:eastAsia="Arial" w:hAnsi="Arial"/>
                <w:sz w:val="14"/>
                <w:szCs w:val="14"/>
                <w:color w:val="auto"/>
              </w:rPr>
              <w:t>142,857</w:t>
            </w:r>
          </w:p>
        </w:tc>
        <w:tc>
          <w:tcPr>
            <w:tcW w:w="220" w:type="dxa"/>
            <w:vAlign w:val="bottom"/>
            <w:shd w:val="clear" w:color="auto" w:fill="F1F2F2"/>
          </w:tcPr>
          <w:p>
            <w:pPr>
              <w:spacing w:after="0"/>
              <w:rPr>
                <w:sz w:val="22"/>
                <w:szCs w:val="22"/>
                <w:color w:val="auto"/>
              </w:rPr>
            </w:pPr>
          </w:p>
        </w:tc>
        <w:tc>
          <w:tcPr>
            <w:tcW w:w="1040" w:type="dxa"/>
            <w:vAlign w:val="bottom"/>
            <w:vMerge w:val="restart"/>
            <w:shd w:val="clear" w:color="auto" w:fill="F1F2F2"/>
          </w:tcPr>
          <w:p>
            <w:pPr>
              <w:jc w:val="right"/>
              <w:ind w:right="48"/>
              <w:spacing w:after="0"/>
              <w:rPr>
                <w:sz w:val="20"/>
                <w:szCs w:val="20"/>
                <w:color w:val="auto"/>
              </w:rPr>
            </w:pPr>
            <w:r>
              <w:rPr>
                <w:rFonts w:ascii="Arial" w:cs="Arial" w:eastAsia="Arial" w:hAnsi="Arial"/>
                <w:sz w:val="14"/>
                <w:szCs w:val="14"/>
                <w:color w:val="auto"/>
              </w:rPr>
              <w:t>—</w:t>
            </w:r>
          </w:p>
        </w:tc>
        <w:tc>
          <w:tcPr>
            <w:tcW w:w="1300" w:type="dxa"/>
            <w:vAlign w:val="bottom"/>
            <w:vMerge w:val="restart"/>
            <w:shd w:val="clear" w:color="auto" w:fill="F1F2F2"/>
          </w:tcPr>
          <w:p>
            <w:pPr>
              <w:jc w:val="right"/>
              <w:ind w:right="168"/>
              <w:spacing w:after="0"/>
              <w:rPr>
                <w:sz w:val="20"/>
                <w:szCs w:val="20"/>
                <w:color w:val="auto"/>
              </w:rPr>
            </w:pPr>
            <w:r>
              <w:rPr>
                <w:rFonts w:ascii="Arial" w:cs="Arial" w:eastAsia="Arial" w:hAnsi="Arial"/>
                <w:sz w:val="14"/>
                <w:szCs w:val="14"/>
                <w:color w:val="auto"/>
              </w:rPr>
              <w:t>1,629,990</w:t>
            </w:r>
          </w:p>
        </w:tc>
        <w:tc>
          <w:tcPr>
            <w:tcW w:w="900" w:type="dxa"/>
            <w:vAlign w:val="bottom"/>
            <w:vMerge w:val="restart"/>
            <w:shd w:val="clear" w:color="auto" w:fill="F1F2F2"/>
          </w:tcPr>
          <w:p>
            <w:pPr>
              <w:jc w:val="right"/>
              <w:ind w:right="8"/>
              <w:spacing w:after="0"/>
              <w:rPr>
                <w:sz w:val="20"/>
                <w:szCs w:val="20"/>
                <w:color w:val="auto"/>
              </w:rPr>
            </w:pPr>
            <w:r>
              <w:rPr>
                <w:rFonts w:ascii="Arial" w:cs="Arial" w:eastAsia="Arial" w:hAnsi="Arial"/>
                <w:sz w:val="14"/>
                <w:szCs w:val="14"/>
                <w:color w:val="auto"/>
              </w:rPr>
              <w:t>244,350</w:t>
            </w:r>
          </w:p>
        </w:tc>
        <w:tc>
          <w:tcPr>
            <w:tcW w:w="1700" w:type="dxa"/>
            <w:vAlign w:val="bottom"/>
            <w:vMerge w:val="restart"/>
            <w:shd w:val="clear" w:color="auto" w:fill="F1F2F2"/>
          </w:tcPr>
          <w:p>
            <w:pPr>
              <w:jc w:val="right"/>
              <w:ind w:right="188"/>
              <w:spacing w:after="0"/>
              <w:rPr>
                <w:sz w:val="20"/>
                <w:szCs w:val="20"/>
                <w:color w:val="auto"/>
              </w:rPr>
            </w:pPr>
            <w:r>
              <w:rPr>
                <w:rFonts w:ascii="Arial" w:cs="Arial" w:eastAsia="Arial" w:hAnsi="Arial"/>
                <w:sz w:val="14"/>
                <w:szCs w:val="14"/>
                <w:color w:val="auto"/>
              </w:rPr>
              <w:t>73,469</w:t>
            </w:r>
          </w:p>
        </w:tc>
        <w:tc>
          <w:tcPr>
            <w:tcW w:w="1460" w:type="dxa"/>
            <w:vAlign w:val="bottom"/>
            <w:vMerge w:val="restart"/>
            <w:shd w:val="clear" w:color="auto" w:fill="F1F2F2"/>
          </w:tcPr>
          <w:p>
            <w:pPr>
              <w:jc w:val="right"/>
              <w:ind w:right="108"/>
              <w:spacing w:after="0"/>
              <w:rPr>
                <w:sz w:val="20"/>
                <w:szCs w:val="20"/>
                <w:color w:val="auto"/>
              </w:rPr>
            </w:pPr>
            <w:r>
              <w:rPr>
                <w:rFonts w:ascii="Arial" w:cs="Arial" w:eastAsia="Arial" w:hAnsi="Arial"/>
                <w:sz w:val="14"/>
                <w:szCs w:val="14"/>
                <w:color w:val="auto"/>
              </w:rPr>
              <w:t>—</w:t>
            </w:r>
          </w:p>
        </w:tc>
        <w:tc>
          <w:tcPr>
            <w:tcW w:w="1080" w:type="dxa"/>
            <w:vAlign w:val="bottom"/>
            <w:vMerge w:val="restart"/>
            <w:shd w:val="clear" w:color="auto" w:fill="F1F2F2"/>
          </w:tcPr>
          <w:p>
            <w:pPr>
              <w:jc w:val="right"/>
              <w:ind w:right="148"/>
              <w:spacing w:after="0"/>
              <w:rPr>
                <w:sz w:val="20"/>
                <w:szCs w:val="20"/>
                <w:color w:val="auto"/>
              </w:rPr>
            </w:pPr>
            <w:r>
              <w:rPr>
                <w:rFonts w:ascii="Arial" w:cs="Arial" w:eastAsia="Arial" w:hAnsi="Arial"/>
                <w:sz w:val="14"/>
                <w:szCs w:val="14"/>
                <w:color w:val="auto"/>
              </w:rPr>
              <w:t>2,090,666</w:t>
            </w:r>
          </w:p>
        </w:tc>
        <w:tc>
          <w:tcPr>
            <w:tcW w:w="0" w:type="dxa"/>
            <w:vAlign w:val="bottom"/>
          </w:tcPr>
          <w:p>
            <w:pPr>
              <w:spacing w:after="0"/>
              <w:rPr>
                <w:sz w:val="1"/>
                <w:szCs w:val="1"/>
                <w:color w:val="auto"/>
              </w:rPr>
            </w:pPr>
          </w:p>
        </w:tc>
      </w:tr>
      <w:tr>
        <w:trPr>
          <w:trHeight w:val="109"/>
        </w:trPr>
        <w:tc>
          <w:tcPr>
            <w:tcW w:w="1700" w:type="dxa"/>
            <w:vAlign w:val="bottom"/>
            <w:vMerge w:val="restart"/>
            <w:shd w:val="clear" w:color="auto" w:fill="F1F2F2"/>
          </w:tcPr>
          <w:p>
            <w:pPr>
              <w:ind w:left="100"/>
              <w:spacing w:after="0"/>
              <w:rPr>
                <w:sz w:val="20"/>
                <w:szCs w:val="20"/>
                <w:color w:val="auto"/>
              </w:rPr>
            </w:pPr>
            <w:r>
              <w:rPr>
                <w:rFonts w:ascii="Arial" w:cs="Arial" w:eastAsia="Arial" w:hAnsi="Arial"/>
                <w:sz w:val="14"/>
                <w:szCs w:val="14"/>
                <w:color w:val="auto"/>
              </w:rPr>
              <w:t>Chief Design Officer</w:t>
            </w:r>
          </w:p>
        </w:tc>
        <w:tc>
          <w:tcPr>
            <w:tcW w:w="800" w:type="dxa"/>
            <w:vAlign w:val="bottom"/>
            <w:vMerge w:val="continue"/>
            <w:shd w:val="clear" w:color="auto" w:fill="F1F2F2"/>
          </w:tcPr>
          <w:p>
            <w:pPr>
              <w:spacing w:after="0"/>
              <w:rPr>
                <w:sz w:val="9"/>
                <w:szCs w:val="9"/>
                <w:color w:val="auto"/>
              </w:rPr>
            </w:pPr>
          </w:p>
        </w:tc>
        <w:tc>
          <w:tcPr>
            <w:tcW w:w="1040" w:type="dxa"/>
            <w:vAlign w:val="bottom"/>
            <w:vMerge w:val="continue"/>
            <w:shd w:val="clear" w:color="auto" w:fill="F1F2F2"/>
          </w:tcPr>
          <w:p>
            <w:pPr>
              <w:spacing w:after="0"/>
              <w:rPr>
                <w:sz w:val="9"/>
                <w:szCs w:val="9"/>
                <w:color w:val="auto"/>
              </w:rPr>
            </w:pPr>
          </w:p>
        </w:tc>
        <w:tc>
          <w:tcPr>
            <w:tcW w:w="220" w:type="dxa"/>
            <w:vAlign w:val="bottom"/>
            <w:shd w:val="clear" w:color="auto" w:fill="F1F2F2"/>
          </w:tcPr>
          <w:p>
            <w:pPr>
              <w:spacing w:after="0"/>
              <w:rPr>
                <w:sz w:val="9"/>
                <w:szCs w:val="9"/>
                <w:color w:val="auto"/>
              </w:rPr>
            </w:pPr>
          </w:p>
        </w:tc>
        <w:tc>
          <w:tcPr>
            <w:tcW w:w="1040" w:type="dxa"/>
            <w:vAlign w:val="bottom"/>
            <w:vMerge w:val="continue"/>
            <w:shd w:val="clear" w:color="auto" w:fill="F1F2F2"/>
          </w:tcPr>
          <w:p>
            <w:pPr>
              <w:spacing w:after="0"/>
              <w:rPr>
                <w:sz w:val="9"/>
                <w:szCs w:val="9"/>
                <w:color w:val="auto"/>
              </w:rPr>
            </w:pPr>
          </w:p>
        </w:tc>
        <w:tc>
          <w:tcPr>
            <w:tcW w:w="1300" w:type="dxa"/>
            <w:vAlign w:val="bottom"/>
            <w:vMerge w:val="continue"/>
            <w:shd w:val="clear" w:color="auto" w:fill="F1F2F2"/>
          </w:tcPr>
          <w:p>
            <w:pPr>
              <w:spacing w:after="0"/>
              <w:rPr>
                <w:sz w:val="9"/>
                <w:szCs w:val="9"/>
                <w:color w:val="auto"/>
              </w:rPr>
            </w:pPr>
          </w:p>
        </w:tc>
        <w:tc>
          <w:tcPr>
            <w:tcW w:w="900" w:type="dxa"/>
            <w:vAlign w:val="bottom"/>
            <w:vMerge w:val="continue"/>
            <w:shd w:val="clear" w:color="auto" w:fill="F1F2F2"/>
          </w:tcPr>
          <w:p>
            <w:pPr>
              <w:spacing w:after="0"/>
              <w:rPr>
                <w:sz w:val="9"/>
                <w:szCs w:val="9"/>
                <w:color w:val="auto"/>
              </w:rPr>
            </w:pPr>
          </w:p>
        </w:tc>
        <w:tc>
          <w:tcPr>
            <w:tcW w:w="1700" w:type="dxa"/>
            <w:vAlign w:val="bottom"/>
            <w:vMerge w:val="continue"/>
            <w:shd w:val="clear" w:color="auto" w:fill="F1F2F2"/>
          </w:tcPr>
          <w:p>
            <w:pPr>
              <w:spacing w:after="0"/>
              <w:rPr>
                <w:sz w:val="9"/>
                <w:szCs w:val="9"/>
                <w:color w:val="auto"/>
              </w:rPr>
            </w:pPr>
          </w:p>
        </w:tc>
        <w:tc>
          <w:tcPr>
            <w:tcW w:w="1460" w:type="dxa"/>
            <w:vAlign w:val="bottom"/>
            <w:vMerge w:val="continue"/>
            <w:shd w:val="clear" w:color="auto" w:fill="F1F2F2"/>
          </w:tcPr>
          <w:p>
            <w:pPr>
              <w:spacing w:after="0"/>
              <w:rPr>
                <w:sz w:val="9"/>
                <w:szCs w:val="9"/>
                <w:color w:val="auto"/>
              </w:rPr>
            </w:pPr>
          </w:p>
        </w:tc>
        <w:tc>
          <w:tcPr>
            <w:tcW w:w="1080" w:type="dxa"/>
            <w:vAlign w:val="bottom"/>
            <w:vMerge w:val="continue"/>
            <w:shd w:val="clear" w:color="auto" w:fill="F1F2F2"/>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700" w:type="dxa"/>
            <w:vAlign w:val="bottom"/>
            <w:vMerge w:val="continue"/>
            <w:shd w:val="clear" w:color="auto" w:fill="F1F2F2"/>
          </w:tcPr>
          <w:p>
            <w:pPr>
              <w:spacing w:after="0"/>
              <w:rPr>
                <w:sz w:val="7"/>
                <w:szCs w:val="7"/>
                <w:color w:val="auto"/>
              </w:rPr>
            </w:pPr>
          </w:p>
        </w:tc>
        <w:tc>
          <w:tcPr>
            <w:tcW w:w="800" w:type="dxa"/>
            <w:vAlign w:val="bottom"/>
            <w:shd w:val="clear" w:color="auto" w:fill="F1F2F2"/>
          </w:tcPr>
          <w:p>
            <w:pPr>
              <w:spacing w:after="0"/>
              <w:rPr>
                <w:sz w:val="7"/>
                <w:szCs w:val="7"/>
                <w:color w:val="auto"/>
              </w:rPr>
            </w:pPr>
          </w:p>
        </w:tc>
        <w:tc>
          <w:tcPr>
            <w:tcW w:w="1040" w:type="dxa"/>
            <w:vAlign w:val="bottom"/>
            <w:shd w:val="clear" w:color="auto" w:fill="F1F2F2"/>
          </w:tcPr>
          <w:p>
            <w:pPr>
              <w:spacing w:after="0"/>
              <w:rPr>
                <w:sz w:val="7"/>
                <w:szCs w:val="7"/>
                <w:color w:val="auto"/>
              </w:rPr>
            </w:pPr>
          </w:p>
        </w:tc>
        <w:tc>
          <w:tcPr>
            <w:tcW w:w="220" w:type="dxa"/>
            <w:vAlign w:val="bottom"/>
            <w:shd w:val="clear" w:color="auto" w:fill="F1F2F2"/>
          </w:tcPr>
          <w:p>
            <w:pPr>
              <w:spacing w:after="0"/>
              <w:rPr>
                <w:sz w:val="7"/>
                <w:szCs w:val="7"/>
                <w:color w:val="auto"/>
              </w:rPr>
            </w:pPr>
          </w:p>
        </w:tc>
        <w:tc>
          <w:tcPr>
            <w:tcW w:w="1040" w:type="dxa"/>
            <w:vAlign w:val="bottom"/>
            <w:shd w:val="clear" w:color="auto" w:fill="F1F2F2"/>
          </w:tcPr>
          <w:p>
            <w:pPr>
              <w:spacing w:after="0"/>
              <w:rPr>
                <w:sz w:val="7"/>
                <w:szCs w:val="7"/>
                <w:color w:val="auto"/>
              </w:rPr>
            </w:pPr>
          </w:p>
        </w:tc>
        <w:tc>
          <w:tcPr>
            <w:tcW w:w="1300" w:type="dxa"/>
            <w:vAlign w:val="bottom"/>
            <w:shd w:val="clear" w:color="auto" w:fill="F1F2F2"/>
          </w:tcPr>
          <w:p>
            <w:pPr>
              <w:spacing w:after="0"/>
              <w:rPr>
                <w:sz w:val="7"/>
                <w:szCs w:val="7"/>
                <w:color w:val="auto"/>
              </w:rPr>
            </w:pPr>
          </w:p>
        </w:tc>
        <w:tc>
          <w:tcPr>
            <w:tcW w:w="900" w:type="dxa"/>
            <w:vAlign w:val="bottom"/>
            <w:shd w:val="clear" w:color="auto" w:fill="F1F2F2"/>
          </w:tcPr>
          <w:p>
            <w:pPr>
              <w:spacing w:after="0"/>
              <w:rPr>
                <w:sz w:val="7"/>
                <w:szCs w:val="7"/>
                <w:color w:val="auto"/>
              </w:rPr>
            </w:pPr>
          </w:p>
        </w:tc>
        <w:tc>
          <w:tcPr>
            <w:tcW w:w="1700" w:type="dxa"/>
            <w:vAlign w:val="bottom"/>
            <w:shd w:val="clear" w:color="auto" w:fill="F1F2F2"/>
          </w:tcPr>
          <w:p>
            <w:pPr>
              <w:spacing w:after="0"/>
              <w:rPr>
                <w:sz w:val="7"/>
                <w:szCs w:val="7"/>
                <w:color w:val="auto"/>
              </w:rPr>
            </w:pPr>
          </w:p>
        </w:tc>
        <w:tc>
          <w:tcPr>
            <w:tcW w:w="1460" w:type="dxa"/>
            <w:vAlign w:val="bottom"/>
            <w:shd w:val="clear" w:color="auto" w:fill="F1F2F2"/>
          </w:tcPr>
          <w:p>
            <w:pPr>
              <w:spacing w:after="0"/>
              <w:rPr>
                <w:sz w:val="7"/>
                <w:szCs w:val="7"/>
                <w:color w:val="auto"/>
              </w:rPr>
            </w:pPr>
          </w:p>
        </w:tc>
        <w:tc>
          <w:tcPr>
            <w:tcW w:w="1080" w:type="dxa"/>
            <w:vAlign w:val="bottom"/>
            <w:shd w:val="clear" w:color="auto" w:fill="F1F2F2"/>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1700" w:type="dxa"/>
            <w:vAlign w:val="bottom"/>
            <w:shd w:val="clear" w:color="auto" w:fill="F1F2F2"/>
          </w:tcPr>
          <w:p>
            <w:pPr>
              <w:spacing w:after="0"/>
              <w:rPr>
                <w:sz w:val="24"/>
                <w:szCs w:val="24"/>
                <w:color w:val="auto"/>
              </w:rPr>
            </w:pPr>
          </w:p>
        </w:tc>
        <w:tc>
          <w:tcPr>
            <w:tcW w:w="800" w:type="dxa"/>
            <w:vAlign w:val="bottom"/>
            <w:shd w:val="clear" w:color="auto" w:fill="F1F2F2"/>
          </w:tcPr>
          <w:p>
            <w:pPr>
              <w:ind w:left="240"/>
              <w:spacing w:after="0"/>
              <w:rPr>
                <w:sz w:val="20"/>
                <w:szCs w:val="20"/>
                <w:color w:val="auto"/>
              </w:rPr>
            </w:pPr>
            <w:r>
              <w:rPr>
                <w:rFonts w:ascii="Arial" w:cs="Arial" w:eastAsia="Arial" w:hAnsi="Arial"/>
                <w:sz w:val="14"/>
                <w:szCs w:val="14"/>
                <w:color w:val="auto"/>
              </w:rPr>
              <w:t>2023</w:t>
            </w:r>
          </w:p>
        </w:tc>
        <w:tc>
          <w:tcPr>
            <w:tcW w:w="1040" w:type="dxa"/>
            <w:vAlign w:val="bottom"/>
            <w:shd w:val="clear" w:color="auto" w:fill="F1F2F2"/>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F1F2F2"/>
          </w:tcPr>
          <w:p>
            <w:pPr>
              <w:spacing w:after="0"/>
              <w:rPr>
                <w:sz w:val="24"/>
                <w:szCs w:val="24"/>
                <w:color w:val="auto"/>
              </w:rPr>
            </w:pPr>
          </w:p>
        </w:tc>
        <w:tc>
          <w:tcPr>
            <w:tcW w:w="1040" w:type="dxa"/>
            <w:vAlign w:val="bottom"/>
            <w:shd w:val="clear" w:color="auto" w:fill="F1F2F2"/>
          </w:tcPr>
          <w:p>
            <w:pPr>
              <w:jc w:val="right"/>
              <w:ind w:right="48"/>
              <w:spacing w:after="0"/>
              <w:rPr>
                <w:sz w:val="20"/>
                <w:szCs w:val="20"/>
                <w:color w:val="auto"/>
              </w:rPr>
            </w:pPr>
            <w:r>
              <w:rPr>
                <w:rFonts w:ascii="Arial" w:cs="Arial" w:eastAsia="Arial" w:hAnsi="Arial"/>
                <w:sz w:val="14"/>
                <w:szCs w:val="14"/>
                <w:color w:val="auto"/>
              </w:rPr>
              <w:t>—</w:t>
            </w:r>
          </w:p>
        </w:tc>
        <w:tc>
          <w:tcPr>
            <w:tcW w:w="1300" w:type="dxa"/>
            <w:vAlign w:val="bottom"/>
            <w:shd w:val="clear" w:color="auto" w:fill="F1F2F2"/>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shd w:val="clear" w:color="auto" w:fill="F1F2F2"/>
          </w:tcPr>
          <w:p>
            <w:pPr>
              <w:jc w:val="right"/>
              <w:ind w:right="8"/>
              <w:spacing w:after="0"/>
              <w:rPr>
                <w:sz w:val="20"/>
                <w:szCs w:val="20"/>
                <w:color w:val="auto"/>
              </w:rPr>
            </w:pPr>
            <w:r>
              <w:rPr>
                <w:rFonts w:ascii="Arial" w:cs="Arial" w:eastAsia="Arial" w:hAnsi="Arial"/>
                <w:sz w:val="14"/>
                <w:szCs w:val="14"/>
                <w:color w:val="auto"/>
              </w:rPr>
              <w:t>—</w:t>
            </w:r>
          </w:p>
        </w:tc>
        <w:tc>
          <w:tcPr>
            <w:tcW w:w="1700" w:type="dxa"/>
            <w:vAlign w:val="bottom"/>
            <w:shd w:val="clear" w:color="auto" w:fill="F1F2F2"/>
          </w:tcPr>
          <w:p>
            <w:pPr>
              <w:jc w:val="right"/>
              <w:ind w:right="188"/>
              <w:spacing w:after="0"/>
              <w:rPr>
                <w:sz w:val="20"/>
                <w:szCs w:val="20"/>
                <w:color w:val="auto"/>
              </w:rPr>
            </w:pPr>
            <w:r>
              <w:rPr>
                <w:rFonts w:ascii="Arial" w:cs="Arial" w:eastAsia="Arial" w:hAnsi="Arial"/>
                <w:sz w:val="14"/>
                <w:szCs w:val="14"/>
                <w:color w:val="auto"/>
              </w:rPr>
              <w:t>—</w:t>
            </w:r>
          </w:p>
        </w:tc>
        <w:tc>
          <w:tcPr>
            <w:tcW w:w="1460" w:type="dxa"/>
            <w:vAlign w:val="bottom"/>
            <w:shd w:val="clear" w:color="auto" w:fill="F1F2F2"/>
          </w:tcPr>
          <w:p>
            <w:pPr>
              <w:jc w:val="right"/>
              <w:ind w:right="108"/>
              <w:spacing w:after="0"/>
              <w:rPr>
                <w:sz w:val="20"/>
                <w:szCs w:val="20"/>
                <w:color w:val="auto"/>
              </w:rPr>
            </w:pPr>
            <w:r>
              <w:rPr>
                <w:rFonts w:ascii="Arial" w:cs="Arial" w:eastAsia="Arial" w:hAnsi="Arial"/>
                <w:sz w:val="14"/>
                <w:szCs w:val="14"/>
                <w:color w:val="auto"/>
              </w:rPr>
              <w:t>—</w:t>
            </w:r>
          </w:p>
        </w:tc>
        <w:tc>
          <w:tcPr>
            <w:tcW w:w="1080" w:type="dxa"/>
            <w:vAlign w:val="bottom"/>
            <w:shd w:val="clear" w:color="auto" w:fill="F1F2F2"/>
          </w:tcPr>
          <w:p>
            <w:pPr>
              <w:jc w:val="right"/>
              <w:ind w:right="1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9"/>
        </w:trPr>
        <w:tc>
          <w:tcPr>
            <w:tcW w:w="1700" w:type="dxa"/>
            <w:vAlign w:val="bottom"/>
            <w:tcBorders>
              <w:bottom w:val="single" w:sz="8" w:color="auto"/>
            </w:tcBorders>
            <w:shd w:val="clear" w:color="auto" w:fill="F1F2F2"/>
          </w:tcPr>
          <w:p>
            <w:pPr>
              <w:spacing w:after="0"/>
              <w:rPr>
                <w:sz w:val="7"/>
                <w:szCs w:val="7"/>
                <w:color w:val="auto"/>
              </w:rPr>
            </w:pPr>
          </w:p>
        </w:tc>
        <w:tc>
          <w:tcPr>
            <w:tcW w:w="800" w:type="dxa"/>
            <w:vAlign w:val="bottom"/>
            <w:tcBorders>
              <w:bottom w:val="single" w:sz="8" w:color="auto"/>
            </w:tcBorders>
            <w:shd w:val="clear" w:color="auto" w:fill="F1F2F2"/>
          </w:tcPr>
          <w:p>
            <w:pPr>
              <w:spacing w:after="0"/>
              <w:rPr>
                <w:sz w:val="7"/>
                <w:szCs w:val="7"/>
                <w:color w:val="auto"/>
              </w:rPr>
            </w:pPr>
          </w:p>
        </w:tc>
        <w:tc>
          <w:tcPr>
            <w:tcW w:w="1040" w:type="dxa"/>
            <w:vAlign w:val="bottom"/>
            <w:tcBorders>
              <w:bottom w:val="single" w:sz="8" w:color="auto"/>
            </w:tcBorders>
            <w:shd w:val="clear" w:color="auto" w:fill="F1F2F2"/>
          </w:tcPr>
          <w:p>
            <w:pPr>
              <w:spacing w:after="0"/>
              <w:rPr>
                <w:sz w:val="7"/>
                <w:szCs w:val="7"/>
                <w:color w:val="auto"/>
              </w:rPr>
            </w:pPr>
          </w:p>
        </w:tc>
        <w:tc>
          <w:tcPr>
            <w:tcW w:w="220" w:type="dxa"/>
            <w:vAlign w:val="bottom"/>
            <w:tcBorders>
              <w:bottom w:val="single" w:sz="8" w:color="auto"/>
            </w:tcBorders>
            <w:shd w:val="clear" w:color="auto" w:fill="F1F2F2"/>
          </w:tcPr>
          <w:p>
            <w:pPr>
              <w:spacing w:after="0"/>
              <w:rPr>
                <w:sz w:val="7"/>
                <w:szCs w:val="7"/>
                <w:color w:val="auto"/>
              </w:rPr>
            </w:pPr>
          </w:p>
        </w:tc>
        <w:tc>
          <w:tcPr>
            <w:tcW w:w="1040" w:type="dxa"/>
            <w:vAlign w:val="bottom"/>
            <w:tcBorders>
              <w:bottom w:val="single" w:sz="8" w:color="auto"/>
            </w:tcBorders>
            <w:shd w:val="clear" w:color="auto" w:fill="F1F2F2"/>
          </w:tcPr>
          <w:p>
            <w:pPr>
              <w:spacing w:after="0"/>
              <w:rPr>
                <w:sz w:val="7"/>
                <w:szCs w:val="7"/>
                <w:color w:val="auto"/>
              </w:rPr>
            </w:pPr>
          </w:p>
        </w:tc>
        <w:tc>
          <w:tcPr>
            <w:tcW w:w="1300" w:type="dxa"/>
            <w:vAlign w:val="bottom"/>
            <w:tcBorders>
              <w:bottom w:val="single" w:sz="8" w:color="auto"/>
            </w:tcBorders>
            <w:shd w:val="clear" w:color="auto" w:fill="F1F2F2"/>
          </w:tcPr>
          <w:p>
            <w:pPr>
              <w:spacing w:after="0"/>
              <w:rPr>
                <w:sz w:val="7"/>
                <w:szCs w:val="7"/>
                <w:color w:val="auto"/>
              </w:rPr>
            </w:pPr>
          </w:p>
        </w:tc>
        <w:tc>
          <w:tcPr>
            <w:tcW w:w="900" w:type="dxa"/>
            <w:vAlign w:val="bottom"/>
            <w:tcBorders>
              <w:bottom w:val="single" w:sz="8" w:color="auto"/>
            </w:tcBorders>
            <w:shd w:val="clear" w:color="auto" w:fill="F1F2F2"/>
          </w:tcPr>
          <w:p>
            <w:pPr>
              <w:spacing w:after="0"/>
              <w:rPr>
                <w:sz w:val="7"/>
                <w:szCs w:val="7"/>
                <w:color w:val="auto"/>
              </w:rPr>
            </w:pPr>
          </w:p>
        </w:tc>
        <w:tc>
          <w:tcPr>
            <w:tcW w:w="1700" w:type="dxa"/>
            <w:vAlign w:val="bottom"/>
            <w:tcBorders>
              <w:bottom w:val="single" w:sz="8" w:color="auto"/>
            </w:tcBorders>
            <w:shd w:val="clear" w:color="auto" w:fill="F1F2F2"/>
          </w:tcPr>
          <w:p>
            <w:pPr>
              <w:spacing w:after="0"/>
              <w:rPr>
                <w:sz w:val="7"/>
                <w:szCs w:val="7"/>
                <w:color w:val="auto"/>
              </w:rPr>
            </w:pPr>
          </w:p>
        </w:tc>
        <w:tc>
          <w:tcPr>
            <w:tcW w:w="1460" w:type="dxa"/>
            <w:vAlign w:val="bottom"/>
            <w:tcBorders>
              <w:bottom w:val="single" w:sz="8" w:color="auto"/>
            </w:tcBorders>
            <w:shd w:val="clear" w:color="auto" w:fill="F1F2F2"/>
          </w:tcPr>
          <w:p>
            <w:pPr>
              <w:spacing w:after="0"/>
              <w:rPr>
                <w:sz w:val="7"/>
                <w:szCs w:val="7"/>
                <w:color w:val="auto"/>
              </w:rPr>
            </w:pPr>
          </w:p>
        </w:tc>
        <w:tc>
          <w:tcPr>
            <w:tcW w:w="1080" w:type="dxa"/>
            <w:vAlign w:val="bottom"/>
            <w:tcBorders>
              <w:bottom w:val="single" w:sz="8" w:color="auto"/>
            </w:tcBorders>
            <w:shd w:val="clear" w:color="auto" w:fill="F1F2F2"/>
          </w:tcPr>
          <w:p>
            <w:pPr>
              <w:spacing w:after="0"/>
              <w:rPr>
                <w:sz w:val="7"/>
                <w:szCs w:val="7"/>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340" w:right="40" w:hanging="332"/>
        <w:spacing w:after="0" w:line="252" w:lineRule="auto"/>
        <w:tabs>
          <w:tab w:leader="none" w:pos="338" w:val="left"/>
        </w:tabs>
        <w:numPr>
          <w:ilvl w:val="0"/>
          <w:numId w:val="22"/>
        </w:numPr>
        <w:rPr>
          <w:rFonts w:ascii="Arial" w:cs="Arial" w:eastAsia="Arial" w:hAnsi="Arial"/>
          <w:sz w:val="14"/>
          <w:szCs w:val="14"/>
          <w:color w:val="auto"/>
        </w:rPr>
      </w:pPr>
      <w:r>
        <w:rPr>
          <w:rFonts w:ascii="Arial" w:cs="Arial" w:eastAsia="Arial" w:hAnsi="Arial"/>
          <w:sz w:val="14"/>
          <w:szCs w:val="14"/>
          <w:color w:val="auto"/>
        </w:rPr>
        <w:t>Amounts in this column for Junkoo Kim include a base salary of $480,000 in 2025 payable by the Company, and a base salary of 150,000,000 KRW payable by NAVER WEBTOON. Amounts in this column for Chankyu Park include a base salary of 320,000,000 KRW. Amounts in this column for Yongsoo Kim include a base salary of 300,000,000 KRW. Amounts in this column for Hyeeun Son include a base salary of 216,300,000 KRW. Amounts in this column for Junkoo Kim (with respect to his NAVER WEBTOON base salary), Chankyu Park, Yongsoo Kim, and Hyeeun Son in 2025 were converted to U.S. dollars (USD) from Korean Won (KRW) based on the USD/KRW exchange rate of 1,434.90 on December 31, 2025.</w:t>
      </w:r>
    </w:p>
    <w:p>
      <w:pPr>
        <w:spacing w:after="0" w:line="32" w:lineRule="exact"/>
        <w:rPr>
          <w:rFonts w:ascii="Arial" w:cs="Arial" w:eastAsia="Arial" w:hAnsi="Arial"/>
          <w:sz w:val="14"/>
          <w:szCs w:val="14"/>
          <w:color w:val="auto"/>
        </w:rPr>
      </w:pPr>
    </w:p>
    <w:p>
      <w:pPr>
        <w:ind w:left="340" w:hanging="332"/>
        <w:spacing w:after="0"/>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Amount in this column with respect to fiscal year 2025 represents the guaranteed portion of David J. Lee’s annual bonus equal to 50% of his base salary.</w:t>
      </w:r>
    </w:p>
    <w:p>
      <w:pPr>
        <w:spacing w:after="0" w:line="55" w:lineRule="exact"/>
        <w:rPr>
          <w:rFonts w:ascii="Arial" w:cs="Arial" w:eastAsia="Arial" w:hAnsi="Arial"/>
          <w:sz w:val="14"/>
          <w:szCs w:val="14"/>
          <w:color w:val="auto"/>
        </w:rPr>
      </w:pPr>
    </w:p>
    <w:p>
      <w:pPr>
        <w:ind w:left="340" w:right="60" w:hanging="332"/>
        <w:spacing w:after="0" w:line="276" w:lineRule="auto"/>
        <w:tabs>
          <w:tab w:leader="none" w:pos="338" w:val="left"/>
        </w:tabs>
        <w:numPr>
          <w:ilvl w:val="0"/>
          <w:numId w:val="22"/>
        </w:numPr>
        <w:rPr>
          <w:rFonts w:ascii="Arial" w:cs="Arial" w:eastAsia="Arial" w:hAnsi="Arial"/>
          <w:sz w:val="14"/>
          <w:szCs w:val="14"/>
          <w:color w:val="auto"/>
        </w:rPr>
      </w:pPr>
      <w:r>
        <w:rPr>
          <w:rFonts w:ascii="Arial" w:cs="Arial" w:eastAsia="Arial" w:hAnsi="Arial"/>
          <w:sz w:val="14"/>
          <w:szCs w:val="14"/>
          <w:color w:val="auto"/>
        </w:rPr>
        <w:t>Amounts in this column represent the aggregate grant date fair value of restricted stock units granted to our NEOs in the applicable fiscal year, computed in accordance with FASB ASC Topic 718. For a discussion of valuation assumptions used in calculating grant date fair value, see Note 11. Stock-Based Compensation in the notes to our audited consolidated financial statements included in the Company’s Annual Report on Form 10-K for the year ended December 31, 2025. See the “2025 Fiscal Year Grants of Plan-Based Awards” and “Outstanding Equity Awards at 2025 Fiscal Year-End” tables below for further details on these grants.</w:t>
      </w:r>
    </w:p>
    <w:p>
      <w:pPr>
        <w:spacing w:after="0" w:line="15" w:lineRule="exact"/>
        <w:rPr>
          <w:rFonts w:ascii="Arial" w:cs="Arial" w:eastAsia="Arial" w:hAnsi="Arial"/>
          <w:sz w:val="14"/>
          <w:szCs w:val="14"/>
          <w:color w:val="auto"/>
        </w:rPr>
      </w:pPr>
    </w:p>
    <w:p>
      <w:pPr>
        <w:ind w:left="340" w:right="40" w:hanging="332"/>
        <w:spacing w:after="0" w:line="267" w:lineRule="auto"/>
        <w:tabs>
          <w:tab w:leader="none" w:pos="338" w:val="left"/>
        </w:tabs>
        <w:numPr>
          <w:ilvl w:val="0"/>
          <w:numId w:val="22"/>
        </w:numPr>
        <w:rPr>
          <w:rFonts w:ascii="Arial" w:cs="Arial" w:eastAsia="Arial" w:hAnsi="Arial"/>
          <w:sz w:val="14"/>
          <w:szCs w:val="14"/>
          <w:color w:val="auto"/>
        </w:rPr>
      </w:pPr>
      <w:r>
        <w:rPr>
          <w:rFonts w:ascii="Arial" w:cs="Arial" w:eastAsia="Arial" w:hAnsi="Arial"/>
          <w:sz w:val="14"/>
          <w:szCs w:val="14"/>
          <w:color w:val="auto"/>
        </w:rPr>
        <w:t>Amounts in this column represent annual performance-based cash bonuses earned by our NEOs in the applicable fiscal year and paid in the subsequent fiscal year. With respect to David J. Lee, this amount reflects only the portion of the annual bonus that is not guaranteed (i.e., the amount in excess of 50% of his base salary). See the “Compensation Discussion and Analysis – Annual Cash Bonuses” section above and the “2025 Fiscal Year Grants of Plan-Based Awards” table below for further details on these bonuses. Amounts paid to Chankyu Park and Hyeeun Son were converted to U.S. dollars (USD) from Korean Won (KRW) based on the USD/KRW exchange rate of 1,434.90 on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243205</wp:posOffset>
            </wp:positionV>
            <wp:extent cx="282575" cy="2743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82575" cy="27432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280" w:type="dxa"/>
            <w:vAlign w:val="bottom"/>
          </w:tcPr>
          <w:p>
            <w:pPr>
              <w:ind w:left="20"/>
              <w:spacing w:after="0"/>
              <w:rPr>
                <w:sz w:val="20"/>
                <w:szCs w:val="20"/>
                <w:color w:val="auto"/>
              </w:rPr>
            </w:pPr>
            <w:r>
              <w:rPr>
                <w:rFonts w:ascii="Arial" w:cs="Arial" w:eastAsia="Arial" w:hAnsi="Arial"/>
                <w:sz w:val="14"/>
                <w:szCs w:val="14"/>
                <w:b w:val="1"/>
                <w:bCs w:val="1"/>
                <w:color w:val="auto"/>
              </w:rPr>
              <w:t>2026 Proxy Statement</w:t>
            </w:r>
          </w:p>
        </w:tc>
        <w:tc>
          <w:tcPr>
            <w:tcW w:w="4960" w:type="dxa"/>
            <w:vAlign w:val="bottom"/>
          </w:tcPr>
          <w:p>
            <w:pPr>
              <w:jc w:val="right"/>
              <w:spacing w:after="0"/>
              <w:rPr>
                <w:sz w:val="20"/>
                <w:szCs w:val="20"/>
                <w:color w:val="auto"/>
              </w:rPr>
            </w:pPr>
            <w:r>
              <w:rPr>
                <w:rFonts w:ascii="Arial" w:cs="Arial" w:eastAsia="Arial" w:hAnsi="Arial"/>
                <w:sz w:val="14"/>
                <w:szCs w:val="14"/>
                <w:b w:val="1"/>
                <w:bCs w:val="1"/>
                <w:color w:val="auto"/>
              </w:rPr>
              <w:t>33</w:t>
            </w:r>
          </w:p>
        </w:tc>
      </w:tr>
      <w:tr>
        <w:trPr>
          <w:trHeight w:val="373"/>
        </w:trPr>
        <w:tc>
          <w:tcPr>
            <w:tcW w:w="6280" w:type="dxa"/>
            <w:vAlign w:val="bottom"/>
            <w:tcBorders>
              <w:bottom w:val="single" w:sz="8" w:color="9A9A9A"/>
            </w:tcBorders>
          </w:tcPr>
          <w:p>
            <w:pPr>
              <w:spacing w:after="0"/>
              <w:rPr>
                <w:sz w:val="24"/>
                <w:szCs w:val="24"/>
                <w:color w:val="auto"/>
              </w:rPr>
            </w:pPr>
          </w:p>
        </w:tc>
        <w:tc>
          <w:tcPr>
            <w:tcW w:w="4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340" w:hanging="332"/>
        <w:spacing w:after="0" w:line="264" w:lineRule="auto"/>
        <w:tabs>
          <w:tab w:leader="none" w:pos="338" w:val="left"/>
        </w:tabs>
        <w:numPr>
          <w:ilvl w:val="0"/>
          <w:numId w:val="23"/>
        </w:numPr>
        <w:rPr>
          <w:rFonts w:ascii="Arial" w:cs="Arial" w:eastAsia="Arial" w:hAnsi="Arial"/>
          <w:sz w:val="14"/>
          <w:szCs w:val="14"/>
          <w:color w:val="auto"/>
        </w:rPr>
      </w:pPr>
      <w:r>
        <w:rPr>
          <w:rFonts w:ascii="Arial" w:cs="Arial" w:eastAsia="Arial" w:hAnsi="Arial"/>
          <w:sz w:val="14"/>
          <w:szCs w:val="14"/>
          <w:color w:val="auto"/>
        </w:rPr>
        <w:t>Amounts reported in this column for fiscal year 2025 consist of the following: for Junkoo Kim, $11,200 in employer matching contributions under the Company’s 401(k) plan, $51,500 for tax compliance services, as well as certain other perquisites and personal benefits; for David J. Lee, $16,850 in reimbursements for commuting costs (which include flights but exclude refunds) and $24,500 in employer matching contributions under the Company’s 401(k) plan; for Chankyu Park, a payment of 17,678,600 KRW in respect of his Excess Budget Payment for fiscal year 2025 and holiday gift cards; and for Yongsoo Kim, an aggregate of $248,764 paid under the expatriate support policy, including a one-time initial settlement payment of $30,000 and $72,720 in living allowance, together with commuter benefits, permanent residency-related expenses, executive physical exam costs, language learning support and holiday gift cards. Portions of the amounts in this column for Junkoo Kim, Chankyu Park and Yongsoo Kim that were originally paid in Korean Won (KRW) were converted to U.S. dollars (USD) based on the USD/KRW exchange rate of 1,434.90 on December 31, 2025. See the “Compensation Discussion and Analysis – Elements of Compensation – Other Executive Perquisites and Benefits” section above for further details on these payments.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00DC64"/>
        </w:rPr>
        <w:t>FISCAL YEAR 2025 GRANTS OF PLAN-BASED AWARDS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certain information with respect to grants of plan-based awards for the fiscal year ended 2025 with respect to our NEOs.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6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460" w:type="dxa"/>
            <w:vAlign w:val="bottom"/>
            <w:gridSpan w:val="3"/>
          </w:tcPr>
          <w:p>
            <w:pPr>
              <w:jc w:val="right"/>
              <w:ind w:right="128"/>
              <w:spacing w:after="0"/>
              <w:rPr>
                <w:sz w:val="20"/>
                <w:szCs w:val="20"/>
                <w:color w:val="auto"/>
              </w:rPr>
            </w:pPr>
            <w:r>
              <w:rPr>
                <w:rFonts w:ascii="Arial" w:cs="Arial" w:eastAsia="Arial" w:hAnsi="Arial"/>
                <w:sz w:val="14"/>
                <w:szCs w:val="14"/>
                <w:b w:val="1"/>
                <w:bCs w:val="1"/>
                <w:color w:val="auto"/>
              </w:rPr>
              <w:t>Estimated Future Payouts Under Non-Equity Incentive Plan</w:t>
            </w:r>
          </w:p>
        </w:tc>
        <w:tc>
          <w:tcPr>
            <w:tcW w:w="17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All Other</w:t>
            </w:r>
          </w:p>
        </w:tc>
        <w:tc>
          <w:tcPr>
            <w:tcW w:w="156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56"/>
        </w:trPr>
        <w:tc>
          <w:tcPr>
            <w:tcW w:w="26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640" w:type="dxa"/>
            <w:vAlign w:val="bottom"/>
            <w:vMerge w:val="restart"/>
          </w:tcPr>
          <w:p>
            <w:pPr>
              <w:jc w:val="right"/>
              <w:ind w:right="728"/>
              <w:spacing w:after="0"/>
              <w:rPr>
                <w:sz w:val="20"/>
                <w:szCs w:val="20"/>
                <w:color w:val="auto"/>
              </w:rPr>
            </w:pPr>
            <w:r>
              <w:rPr>
                <w:rFonts w:ascii="Arial" w:cs="Arial" w:eastAsia="Arial" w:hAnsi="Arial"/>
                <w:sz w:val="14"/>
                <w:szCs w:val="14"/>
                <w:b w:val="1"/>
                <w:bCs w:val="1"/>
                <w:color w:val="auto"/>
              </w:rPr>
              <w:t>Awards</w:t>
            </w:r>
            <w:r>
              <w:rPr>
                <w:rFonts w:ascii="Arial" w:cs="Arial" w:eastAsia="Arial" w:hAnsi="Arial"/>
                <w:sz w:val="18"/>
                <w:szCs w:val="18"/>
                <w:b w:val="1"/>
                <w:bCs w:val="1"/>
                <w:color w:val="auto"/>
                <w:vertAlign w:val="superscript"/>
              </w:rPr>
              <w:t>(1)</w:t>
            </w:r>
          </w:p>
        </w:tc>
        <w:tc>
          <w:tcPr>
            <w:tcW w:w="1120" w:type="dxa"/>
            <w:vAlign w:val="bottom"/>
          </w:tcPr>
          <w:p>
            <w:pPr>
              <w:spacing w:after="0"/>
              <w:rPr>
                <w:sz w:val="4"/>
                <w:szCs w:val="4"/>
                <w:color w:val="auto"/>
              </w:rPr>
            </w:pPr>
          </w:p>
        </w:tc>
        <w:tc>
          <w:tcPr>
            <w:tcW w:w="1700" w:type="dxa"/>
            <w:vAlign w:val="bottom"/>
            <w:vMerge w:val="continue"/>
          </w:tcPr>
          <w:p>
            <w:pPr>
              <w:spacing w:after="0"/>
              <w:rPr>
                <w:sz w:val="4"/>
                <w:szCs w:val="4"/>
                <w:color w:val="auto"/>
              </w:rPr>
            </w:pPr>
          </w:p>
        </w:tc>
        <w:tc>
          <w:tcPr>
            <w:tcW w:w="15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64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b w:val="1"/>
                <w:bCs w:val="1"/>
                <w:color w:val="auto"/>
              </w:rPr>
              <w:t>Stock Awards:</w:t>
            </w:r>
          </w:p>
        </w:tc>
        <w:tc>
          <w:tcPr>
            <w:tcW w:w="1560" w:type="dxa"/>
            <w:vAlign w:val="bottom"/>
          </w:tcPr>
          <w:p>
            <w:pPr>
              <w:jc w:val="right"/>
              <w:ind w:right="108"/>
              <w:spacing w:after="0"/>
              <w:rPr>
                <w:sz w:val="20"/>
                <w:szCs w:val="20"/>
                <w:color w:val="auto"/>
              </w:rPr>
            </w:pPr>
            <w:r>
              <w:rPr>
                <w:rFonts w:ascii="Arial" w:cs="Arial" w:eastAsia="Arial" w:hAnsi="Arial"/>
                <w:sz w:val="14"/>
                <w:szCs w:val="14"/>
                <w:b w:val="1"/>
                <w:bCs w:val="1"/>
                <w:color w:val="auto"/>
              </w:rPr>
              <w:t>Fair Value of Stock</w:t>
            </w:r>
          </w:p>
        </w:tc>
        <w:tc>
          <w:tcPr>
            <w:tcW w:w="0" w:type="dxa"/>
            <w:vAlign w:val="bottom"/>
          </w:tcPr>
          <w:p>
            <w:pPr>
              <w:spacing w:after="0"/>
              <w:rPr>
                <w:sz w:val="1"/>
                <w:szCs w:val="1"/>
                <w:color w:val="auto"/>
              </w:rPr>
            </w:pPr>
          </w:p>
        </w:tc>
      </w:tr>
      <w:tr>
        <w:trPr>
          <w:trHeight w:val="90"/>
        </w:trPr>
        <w:tc>
          <w:tcPr>
            <w:tcW w:w="26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700" w:type="dxa"/>
            <w:vAlign w:val="bottom"/>
            <w:tcBorders>
              <w:bottom w:val="single" w:sz="8" w:color="auto"/>
            </w:tcBorders>
          </w:tcPr>
          <w:p>
            <w:pPr>
              <w:spacing w:after="0"/>
              <w:rPr>
                <w:sz w:val="7"/>
                <w:szCs w:val="7"/>
                <w:color w:val="auto"/>
              </w:rPr>
            </w:pPr>
          </w:p>
        </w:tc>
        <w:tc>
          <w:tcPr>
            <w:tcW w:w="164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17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Number of Shares of</w:t>
            </w:r>
          </w:p>
        </w:tc>
        <w:tc>
          <w:tcPr>
            <w:tcW w:w="156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and Option</w:t>
            </w:r>
          </w:p>
        </w:tc>
        <w:tc>
          <w:tcPr>
            <w:tcW w:w="0" w:type="dxa"/>
            <w:vAlign w:val="bottom"/>
          </w:tcPr>
          <w:p>
            <w:pPr>
              <w:spacing w:after="0"/>
              <w:rPr>
                <w:sz w:val="1"/>
                <w:szCs w:val="1"/>
                <w:color w:val="auto"/>
              </w:rPr>
            </w:pPr>
          </w:p>
        </w:tc>
      </w:tr>
      <w:tr>
        <w:trPr>
          <w:trHeight w:val="63"/>
        </w:trPr>
        <w:tc>
          <w:tcPr>
            <w:tcW w:w="26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700" w:type="dxa"/>
            <w:vAlign w:val="bottom"/>
            <w:vMerge w:val="continue"/>
          </w:tcPr>
          <w:p>
            <w:pPr>
              <w:spacing w:after="0"/>
              <w:rPr>
                <w:sz w:val="5"/>
                <w:szCs w:val="5"/>
                <w:color w:val="auto"/>
              </w:rPr>
            </w:pPr>
          </w:p>
        </w:tc>
        <w:tc>
          <w:tcPr>
            <w:tcW w:w="1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262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Grant</w:t>
            </w:r>
          </w:p>
        </w:tc>
        <w:tc>
          <w:tcPr>
            <w:tcW w:w="1700" w:type="dxa"/>
            <w:vAlign w:val="bottom"/>
          </w:tcPr>
          <w:p>
            <w:pPr>
              <w:jc w:val="right"/>
              <w:ind w:right="188"/>
              <w:spacing w:after="0"/>
              <w:rPr>
                <w:sz w:val="20"/>
                <w:szCs w:val="20"/>
                <w:color w:val="auto"/>
              </w:rPr>
            </w:pPr>
            <w:r>
              <w:rPr>
                <w:rFonts w:ascii="Arial" w:cs="Arial" w:eastAsia="Arial" w:hAnsi="Arial"/>
                <w:sz w:val="14"/>
                <w:szCs w:val="14"/>
                <w:b w:val="1"/>
                <w:bCs w:val="1"/>
                <w:color w:val="auto"/>
              </w:rPr>
              <w:t>Threshold</w:t>
            </w:r>
          </w:p>
        </w:tc>
        <w:tc>
          <w:tcPr>
            <w:tcW w:w="1640" w:type="dxa"/>
            <w:vAlign w:val="bottom"/>
          </w:tcPr>
          <w:p>
            <w:pPr>
              <w:jc w:val="right"/>
              <w:ind w:right="348"/>
              <w:spacing w:after="0"/>
              <w:rPr>
                <w:sz w:val="20"/>
                <w:szCs w:val="20"/>
                <w:color w:val="auto"/>
              </w:rPr>
            </w:pPr>
            <w:r>
              <w:rPr>
                <w:rFonts w:ascii="Arial" w:cs="Arial" w:eastAsia="Arial" w:hAnsi="Arial"/>
                <w:sz w:val="14"/>
                <w:szCs w:val="14"/>
                <w:b w:val="1"/>
                <w:bCs w:val="1"/>
                <w:color w:val="auto"/>
              </w:rPr>
              <w:t>Target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Maximum</w:t>
            </w:r>
          </w:p>
        </w:tc>
        <w:tc>
          <w:tcPr>
            <w:tcW w:w="1700" w:type="dxa"/>
            <w:vAlign w:val="bottom"/>
          </w:tcPr>
          <w:p>
            <w:pPr>
              <w:jc w:val="right"/>
              <w:ind w:right="28"/>
              <w:spacing w:after="0" w:line="178" w:lineRule="exact"/>
              <w:rPr>
                <w:sz w:val="20"/>
                <w:szCs w:val="20"/>
                <w:color w:val="auto"/>
              </w:rPr>
            </w:pPr>
            <w:r>
              <w:rPr>
                <w:rFonts w:ascii="Arial" w:cs="Arial" w:eastAsia="Arial" w:hAnsi="Arial"/>
                <w:sz w:val="14"/>
                <w:szCs w:val="14"/>
                <w:b w:val="1"/>
                <w:bCs w:val="1"/>
                <w:color w:val="auto"/>
              </w:rPr>
              <w:t>Stock or Units</w:t>
            </w:r>
            <w:r>
              <w:rPr>
                <w:rFonts w:ascii="Arial" w:cs="Arial" w:eastAsia="Arial" w:hAnsi="Arial"/>
                <w:sz w:val="18"/>
                <w:szCs w:val="18"/>
                <w:b w:val="1"/>
                <w:bCs w:val="1"/>
                <w:color w:val="auto"/>
                <w:vertAlign w:val="superscript"/>
              </w:rPr>
              <w:t>(2)</w:t>
            </w:r>
          </w:p>
        </w:tc>
        <w:tc>
          <w:tcPr>
            <w:tcW w:w="1560" w:type="dxa"/>
            <w:vAlign w:val="bottom"/>
          </w:tcPr>
          <w:p>
            <w:pPr>
              <w:jc w:val="right"/>
              <w:ind w:right="108"/>
              <w:spacing w:after="0"/>
              <w:rPr>
                <w:sz w:val="20"/>
                <w:szCs w:val="20"/>
                <w:color w:val="auto"/>
              </w:rPr>
            </w:pPr>
            <w:r>
              <w:rPr>
                <w:rFonts w:ascii="Arial" w:cs="Arial" w:eastAsia="Arial" w:hAnsi="Arial"/>
                <w:sz w:val="14"/>
                <w:szCs w:val="14"/>
                <w:b w:val="1"/>
                <w:bCs w:val="1"/>
                <w:color w:val="auto"/>
              </w:rPr>
              <w:t>Awards</w:t>
            </w:r>
          </w:p>
        </w:tc>
        <w:tc>
          <w:tcPr>
            <w:tcW w:w="0" w:type="dxa"/>
            <w:vAlign w:val="bottom"/>
          </w:tcPr>
          <w:p>
            <w:pPr>
              <w:spacing w:after="0"/>
              <w:rPr>
                <w:sz w:val="1"/>
                <w:szCs w:val="1"/>
                <w:color w:val="auto"/>
              </w:rPr>
            </w:pPr>
          </w:p>
        </w:tc>
      </w:tr>
      <w:tr>
        <w:trPr>
          <w:trHeight w:val="196"/>
        </w:trPr>
        <w:tc>
          <w:tcPr>
            <w:tcW w:w="2620" w:type="dxa"/>
            <w:vAlign w:val="bottom"/>
          </w:tcPr>
          <w:p>
            <w:pPr>
              <w:ind w:left="100"/>
              <w:spacing w:after="0"/>
              <w:rPr>
                <w:sz w:val="20"/>
                <w:szCs w:val="20"/>
                <w:color w:val="auto"/>
              </w:rPr>
            </w:pPr>
            <w:r>
              <w:rPr>
                <w:rFonts w:ascii="Arial" w:cs="Arial" w:eastAsia="Arial" w:hAnsi="Arial"/>
                <w:sz w:val="14"/>
                <w:szCs w:val="14"/>
                <w:b w:val="1"/>
                <w:bCs w:val="1"/>
                <w:color w:val="auto"/>
              </w:rPr>
              <w:t>Name</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Date</w:t>
            </w:r>
          </w:p>
        </w:tc>
        <w:tc>
          <w:tcPr>
            <w:tcW w:w="170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640" w:type="dxa"/>
            <w:vAlign w:val="bottom"/>
          </w:tcPr>
          <w:p>
            <w:pPr>
              <w:jc w:val="right"/>
              <w:ind w:right="308"/>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7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156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10"/>
        </w:trPr>
        <w:tc>
          <w:tcPr>
            <w:tcW w:w="26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2620" w:type="dxa"/>
            <w:vAlign w:val="bottom"/>
            <w:shd w:val="clear" w:color="auto" w:fill="F1F2F2"/>
          </w:tcPr>
          <w:p>
            <w:pPr>
              <w:ind w:left="100"/>
              <w:spacing w:after="0"/>
              <w:rPr>
                <w:sz w:val="20"/>
                <w:szCs w:val="20"/>
                <w:color w:val="auto"/>
              </w:rPr>
            </w:pPr>
            <w:r>
              <w:rPr>
                <w:rFonts w:ascii="Arial" w:cs="Arial" w:eastAsia="Arial" w:hAnsi="Arial"/>
                <w:sz w:val="14"/>
                <w:szCs w:val="14"/>
                <w:b w:val="1"/>
                <w:bCs w:val="1"/>
                <w:color w:val="auto"/>
              </w:rPr>
              <w:t>Junkoo Kim</w:t>
            </w:r>
          </w:p>
        </w:tc>
        <w:tc>
          <w:tcPr>
            <w:tcW w:w="880" w:type="dxa"/>
            <w:vAlign w:val="bottom"/>
            <w:shd w:val="clear" w:color="auto" w:fill="F1F2F2"/>
          </w:tcPr>
          <w:p>
            <w:pPr>
              <w:jc w:val="center"/>
              <w:spacing w:after="0"/>
              <w:rPr>
                <w:sz w:val="20"/>
                <w:szCs w:val="20"/>
                <w:color w:val="auto"/>
              </w:rPr>
            </w:pPr>
            <w:r>
              <w:rPr>
                <w:rFonts w:ascii="Arial" w:cs="Arial" w:eastAsia="Arial" w:hAnsi="Arial"/>
                <w:sz w:val="14"/>
                <w:szCs w:val="14"/>
                <w:color w:val="auto"/>
              </w:rPr>
              <w:t>—</w:t>
            </w:r>
          </w:p>
        </w:tc>
        <w:tc>
          <w:tcPr>
            <w:tcW w:w="1700" w:type="dxa"/>
            <w:vAlign w:val="bottom"/>
            <w:shd w:val="clear" w:color="auto" w:fill="F1F2F2"/>
          </w:tcPr>
          <w:p>
            <w:pPr>
              <w:jc w:val="right"/>
              <w:ind w:right="208"/>
              <w:spacing w:after="0"/>
              <w:rPr>
                <w:sz w:val="20"/>
                <w:szCs w:val="20"/>
                <w:color w:val="auto"/>
              </w:rPr>
            </w:pPr>
            <w:r>
              <w:rPr>
                <w:rFonts w:ascii="Arial" w:cs="Arial" w:eastAsia="Arial" w:hAnsi="Arial"/>
                <w:sz w:val="14"/>
                <w:szCs w:val="14"/>
                <w:color w:val="auto"/>
              </w:rPr>
              <w:t>285,000</w:t>
            </w:r>
          </w:p>
        </w:tc>
        <w:tc>
          <w:tcPr>
            <w:tcW w:w="1640" w:type="dxa"/>
            <w:vAlign w:val="bottom"/>
            <w:shd w:val="clear" w:color="auto" w:fill="F1F2F2"/>
          </w:tcPr>
          <w:p>
            <w:pPr>
              <w:jc w:val="right"/>
              <w:ind w:right="368"/>
              <w:spacing w:after="0"/>
              <w:rPr>
                <w:sz w:val="20"/>
                <w:szCs w:val="20"/>
                <w:color w:val="auto"/>
              </w:rPr>
            </w:pPr>
            <w:r>
              <w:rPr>
                <w:rFonts w:ascii="Arial" w:cs="Arial" w:eastAsia="Arial" w:hAnsi="Arial"/>
                <w:sz w:val="14"/>
                <w:szCs w:val="14"/>
                <w:color w:val="auto"/>
              </w:rPr>
              <w:t>570,000</w:t>
            </w:r>
          </w:p>
        </w:tc>
        <w:tc>
          <w:tcPr>
            <w:tcW w:w="1120" w:type="dxa"/>
            <w:vAlign w:val="bottom"/>
            <w:shd w:val="clear" w:color="auto" w:fill="F1F2F2"/>
          </w:tcPr>
          <w:p>
            <w:pPr>
              <w:jc w:val="right"/>
              <w:spacing w:after="0"/>
              <w:rPr>
                <w:sz w:val="20"/>
                <w:szCs w:val="20"/>
                <w:color w:val="auto"/>
              </w:rPr>
            </w:pPr>
            <w:r>
              <w:rPr>
                <w:rFonts w:ascii="Arial" w:cs="Arial" w:eastAsia="Arial" w:hAnsi="Arial"/>
                <w:sz w:val="14"/>
                <w:szCs w:val="14"/>
                <w:color w:val="auto"/>
              </w:rPr>
              <w:t>855,000</w:t>
            </w:r>
          </w:p>
        </w:tc>
        <w:tc>
          <w:tcPr>
            <w:tcW w:w="1700" w:type="dxa"/>
            <w:vAlign w:val="bottom"/>
            <w:shd w:val="clear" w:color="auto" w:fill="F1F2F2"/>
          </w:tcPr>
          <w:p>
            <w:pPr>
              <w:jc w:val="right"/>
              <w:ind w:right="68"/>
              <w:spacing w:after="0"/>
              <w:rPr>
                <w:sz w:val="20"/>
                <w:szCs w:val="20"/>
                <w:color w:val="auto"/>
              </w:rPr>
            </w:pPr>
            <w:r>
              <w:rPr>
                <w:rFonts w:ascii="Arial" w:cs="Arial" w:eastAsia="Arial" w:hAnsi="Arial"/>
                <w:sz w:val="14"/>
                <w:szCs w:val="14"/>
                <w:color w:val="auto"/>
              </w:rPr>
              <w:t>—</w:t>
            </w:r>
          </w:p>
        </w:tc>
        <w:tc>
          <w:tcPr>
            <w:tcW w:w="1560" w:type="dxa"/>
            <w:vAlign w:val="bottom"/>
            <w:shd w:val="clear" w:color="auto" w:fill="F1F2F2"/>
          </w:tcPr>
          <w:p>
            <w:pPr>
              <w:jc w:val="right"/>
              <w:ind w:right="1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0"/>
        </w:trPr>
        <w:tc>
          <w:tcPr>
            <w:tcW w:w="2620" w:type="dxa"/>
            <w:vAlign w:val="bottom"/>
          </w:tcPr>
          <w:p>
            <w:pPr>
              <w:ind w:left="100"/>
              <w:spacing w:after="0"/>
              <w:rPr>
                <w:sz w:val="20"/>
                <w:szCs w:val="20"/>
                <w:color w:val="auto"/>
              </w:rPr>
            </w:pPr>
            <w:r>
              <w:rPr>
                <w:rFonts w:ascii="Arial" w:cs="Arial" w:eastAsia="Arial" w:hAnsi="Arial"/>
                <w:sz w:val="14"/>
                <w:szCs w:val="14"/>
                <w:b w:val="1"/>
                <w:bCs w:val="1"/>
                <w:color w:val="auto"/>
              </w:rPr>
              <w:t>David J. Lee</w:t>
            </w:r>
          </w:p>
        </w:tc>
        <w:tc>
          <w:tcPr>
            <w:tcW w:w="880" w:type="dxa"/>
            <w:vAlign w:val="bottom"/>
          </w:tcPr>
          <w:p>
            <w:pPr>
              <w:jc w:val="center"/>
              <w:spacing w:after="0"/>
              <w:rPr>
                <w:sz w:val="20"/>
                <w:szCs w:val="20"/>
                <w:color w:val="auto"/>
              </w:rPr>
            </w:pPr>
            <w:r>
              <w:rPr>
                <w:rFonts w:ascii="Arial" w:cs="Arial" w:eastAsia="Arial" w:hAnsi="Arial"/>
                <w:sz w:val="14"/>
                <w:szCs w:val="14"/>
                <w:color w:val="auto"/>
              </w:rPr>
              <w:t>—</w:t>
            </w:r>
          </w:p>
        </w:tc>
        <w:tc>
          <w:tcPr>
            <w:tcW w:w="1700" w:type="dxa"/>
            <w:vAlign w:val="bottom"/>
          </w:tcPr>
          <w:p>
            <w:pPr>
              <w:spacing w:after="0"/>
              <w:rPr>
                <w:sz w:val="19"/>
                <w:szCs w:val="19"/>
                <w:color w:val="auto"/>
              </w:rPr>
            </w:pPr>
          </w:p>
        </w:tc>
        <w:tc>
          <w:tcPr>
            <w:tcW w:w="1640" w:type="dxa"/>
            <w:vAlign w:val="bottom"/>
          </w:tcPr>
          <w:p>
            <w:pPr>
              <w:jc w:val="right"/>
              <w:ind w:right="308"/>
              <w:spacing w:after="0"/>
              <w:rPr>
                <w:sz w:val="20"/>
                <w:szCs w:val="20"/>
                <w:color w:val="auto"/>
              </w:rPr>
            </w:pPr>
            <w:r>
              <w:rPr>
                <w:rFonts w:ascii="Arial" w:cs="Arial" w:eastAsia="Arial" w:hAnsi="Arial"/>
                <w:sz w:val="14"/>
                <w:szCs w:val="14"/>
                <w:color w:val="auto"/>
              </w:rPr>
              <w:t>250,000</w:t>
            </w:r>
            <w:r>
              <w:rPr>
                <w:rFonts w:ascii="Arial" w:cs="Arial" w:eastAsia="Arial" w:hAnsi="Arial"/>
                <w:sz w:val="18"/>
                <w:szCs w:val="18"/>
                <w:color w:val="auto"/>
                <w:vertAlign w:val="superscript"/>
              </w:rPr>
              <w:t>(3)</w:t>
            </w:r>
          </w:p>
        </w:tc>
        <w:tc>
          <w:tcPr>
            <w:tcW w:w="1120" w:type="dxa"/>
            <w:vAlign w:val="bottom"/>
          </w:tcPr>
          <w:p>
            <w:pPr>
              <w:jc w:val="right"/>
              <w:spacing w:after="0"/>
              <w:rPr>
                <w:sz w:val="20"/>
                <w:szCs w:val="20"/>
                <w:color w:val="auto"/>
              </w:rPr>
            </w:pPr>
            <w:r>
              <w:rPr>
                <w:rFonts w:ascii="Arial" w:cs="Arial" w:eastAsia="Arial" w:hAnsi="Arial"/>
                <w:sz w:val="14"/>
                <w:szCs w:val="14"/>
                <w:color w:val="auto"/>
              </w:rPr>
              <w:t>250,000</w:t>
            </w:r>
          </w:p>
        </w:tc>
        <w:tc>
          <w:tcPr>
            <w:tcW w:w="17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5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8"/>
        </w:trPr>
        <w:tc>
          <w:tcPr>
            <w:tcW w:w="2620" w:type="dxa"/>
            <w:vAlign w:val="bottom"/>
            <w:vMerge w:val="restart"/>
            <w:shd w:val="clear" w:color="auto" w:fill="F1F2F2"/>
          </w:tcPr>
          <w:p>
            <w:pPr>
              <w:ind w:left="100"/>
              <w:spacing w:after="0"/>
              <w:rPr>
                <w:sz w:val="20"/>
                <w:szCs w:val="20"/>
                <w:color w:val="auto"/>
              </w:rPr>
            </w:pPr>
            <w:r>
              <w:rPr>
                <w:rFonts w:ascii="Arial" w:cs="Arial" w:eastAsia="Arial" w:hAnsi="Arial"/>
                <w:sz w:val="14"/>
                <w:szCs w:val="14"/>
                <w:b w:val="1"/>
                <w:bCs w:val="1"/>
                <w:color w:val="auto"/>
              </w:rPr>
              <w:t>Chankyu Park</w:t>
            </w:r>
          </w:p>
        </w:tc>
        <w:tc>
          <w:tcPr>
            <w:tcW w:w="880" w:type="dxa"/>
            <w:vAlign w:val="bottom"/>
            <w:shd w:val="clear" w:color="auto" w:fill="F1F2F2"/>
          </w:tcPr>
          <w:p>
            <w:pPr>
              <w:jc w:val="center"/>
              <w:spacing w:after="0"/>
              <w:rPr>
                <w:sz w:val="20"/>
                <w:szCs w:val="20"/>
                <w:color w:val="auto"/>
              </w:rPr>
            </w:pPr>
            <w:r>
              <w:rPr>
                <w:rFonts w:ascii="Arial" w:cs="Arial" w:eastAsia="Arial" w:hAnsi="Arial"/>
                <w:sz w:val="14"/>
                <w:szCs w:val="14"/>
                <w:color w:val="auto"/>
              </w:rPr>
              <w:t>—</w:t>
            </w:r>
          </w:p>
        </w:tc>
        <w:tc>
          <w:tcPr>
            <w:tcW w:w="1700" w:type="dxa"/>
            <w:vAlign w:val="bottom"/>
            <w:shd w:val="clear" w:color="auto" w:fill="F1F2F2"/>
          </w:tcPr>
          <w:p>
            <w:pPr>
              <w:jc w:val="right"/>
              <w:ind w:right="208"/>
              <w:spacing w:after="0"/>
              <w:rPr>
                <w:sz w:val="20"/>
                <w:szCs w:val="20"/>
                <w:color w:val="auto"/>
              </w:rPr>
            </w:pPr>
            <w:r>
              <w:rPr>
                <w:rFonts w:ascii="Arial" w:cs="Arial" w:eastAsia="Arial" w:hAnsi="Arial"/>
                <w:sz w:val="14"/>
                <w:szCs w:val="14"/>
                <w:color w:val="auto"/>
              </w:rPr>
              <w:t>66,904</w:t>
            </w:r>
          </w:p>
        </w:tc>
        <w:tc>
          <w:tcPr>
            <w:tcW w:w="1640" w:type="dxa"/>
            <w:vAlign w:val="bottom"/>
            <w:shd w:val="clear" w:color="auto" w:fill="F1F2F2"/>
          </w:tcPr>
          <w:p>
            <w:pPr>
              <w:jc w:val="right"/>
              <w:ind w:right="368"/>
              <w:spacing w:after="0"/>
              <w:rPr>
                <w:sz w:val="20"/>
                <w:szCs w:val="20"/>
                <w:color w:val="auto"/>
              </w:rPr>
            </w:pPr>
            <w:r>
              <w:rPr>
                <w:rFonts w:ascii="Arial" w:cs="Arial" w:eastAsia="Arial" w:hAnsi="Arial"/>
                <w:sz w:val="14"/>
                <w:szCs w:val="14"/>
                <w:color w:val="auto"/>
              </w:rPr>
              <w:t>133,807</w:t>
            </w:r>
          </w:p>
        </w:tc>
        <w:tc>
          <w:tcPr>
            <w:tcW w:w="1120" w:type="dxa"/>
            <w:vAlign w:val="bottom"/>
            <w:shd w:val="clear" w:color="auto" w:fill="F1F2F2"/>
          </w:tcPr>
          <w:p>
            <w:pPr>
              <w:jc w:val="right"/>
              <w:spacing w:after="0"/>
              <w:rPr>
                <w:sz w:val="20"/>
                <w:szCs w:val="20"/>
                <w:color w:val="auto"/>
              </w:rPr>
            </w:pPr>
            <w:r>
              <w:rPr>
                <w:rFonts w:ascii="Arial" w:cs="Arial" w:eastAsia="Arial" w:hAnsi="Arial"/>
                <w:sz w:val="14"/>
                <w:szCs w:val="14"/>
                <w:color w:val="auto"/>
              </w:rPr>
              <w:t>200,711</w:t>
            </w:r>
          </w:p>
        </w:tc>
        <w:tc>
          <w:tcPr>
            <w:tcW w:w="1700" w:type="dxa"/>
            <w:vAlign w:val="bottom"/>
            <w:shd w:val="clear" w:color="auto" w:fill="F1F2F2"/>
          </w:tcPr>
          <w:p>
            <w:pPr>
              <w:jc w:val="right"/>
              <w:ind w:right="68"/>
              <w:spacing w:after="0"/>
              <w:rPr>
                <w:sz w:val="20"/>
                <w:szCs w:val="20"/>
                <w:color w:val="auto"/>
              </w:rPr>
            </w:pPr>
            <w:r>
              <w:rPr>
                <w:rFonts w:ascii="Arial" w:cs="Arial" w:eastAsia="Arial" w:hAnsi="Arial"/>
                <w:sz w:val="14"/>
                <w:szCs w:val="14"/>
                <w:color w:val="auto"/>
              </w:rPr>
              <w:t>—</w:t>
            </w:r>
          </w:p>
        </w:tc>
        <w:tc>
          <w:tcPr>
            <w:tcW w:w="1560" w:type="dxa"/>
            <w:vAlign w:val="bottom"/>
            <w:shd w:val="clear" w:color="auto" w:fill="F1F2F2"/>
          </w:tcPr>
          <w:p>
            <w:pPr>
              <w:jc w:val="right"/>
              <w:ind w:right="1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8"/>
        </w:trPr>
        <w:tc>
          <w:tcPr>
            <w:tcW w:w="2620" w:type="dxa"/>
            <w:vAlign w:val="bottom"/>
            <w:vMerge w:val="continue"/>
            <w:shd w:val="clear" w:color="auto" w:fill="F1F2F2"/>
          </w:tcPr>
          <w:p>
            <w:pPr>
              <w:spacing w:after="0"/>
              <w:rPr>
                <w:sz w:val="14"/>
                <w:szCs w:val="14"/>
                <w:color w:val="auto"/>
              </w:rPr>
            </w:pPr>
          </w:p>
        </w:tc>
        <w:tc>
          <w:tcPr>
            <w:tcW w:w="880" w:type="dxa"/>
            <w:vAlign w:val="bottom"/>
            <w:vMerge w:val="restart"/>
            <w:shd w:val="clear" w:color="auto" w:fill="F1F2F2"/>
          </w:tcPr>
          <w:p>
            <w:pPr>
              <w:jc w:val="center"/>
              <w:spacing w:after="0"/>
              <w:rPr>
                <w:sz w:val="20"/>
                <w:szCs w:val="20"/>
                <w:color w:val="auto"/>
              </w:rPr>
            </w:pPr>
            <w:r>
              <w:rPr>
                <w:rFonts w:ascii="Arial" w:cs="Arial" w:eastAsia="Arial" w:hAnsi="Arial"/>
                <w:sz w:val="14"/>
                <w:szCs w:val="14"/>
                <w:color w:val="auto"/>
              </w:rPr>
              <w:t>3/7/25</w:t>
            </w:r>
          </w:p>
        </w:tc>
        <w:tc>
          <w:tcPr>
            <w:tcW w:w="1700" w:type="dxa"/>
            <w:vAlign w:val="bottom"/>
            <w:vMerge w:val="restart"/>
            <w:shd w:val="clear" w:color="auto" w:fill="F1F2F2"/>
          </w:tcPr>
          <w:p>
            <w:pPr>
              <w:jc w:val="right"/>
              <w:ind w:right="208"/>
              <w:spacing w:after="0"/>
              <w:rPr>
                <w:sz w:val="20"/>
                <w:szCs w:val="20"/>
                <w:color w:val="auto"/>
              </w:rPr>
            </w:pPr>
            <w:r>
              <w:rPr>
                <w:rFonts w:ascii="Arial" w:cs="Arial" w:eastAsia="Arial" w:hAnsi="Arial"/>
                <w:sz w:val="14"/>
                <w:szCs w:val="14"/>
                <w:color w:val="auto"/>
              </w:rPr>
              <w:t>—</w:t>
            </w:r>
          </w:p>
        </w:tc>
        <w:tc>
          <w:tcPr>
            <w:tcW w:w="1640" w:type="dxa"/>
            <w:vAlign w:val="bottom"/>
            <w:vMerge w:val="restart"/>
            <w:shd w:val="clear" w:color="auto" w:fill="F1F2F2"/>
          </w:tcPr>
          <w:p>
            <w:pPr>
              <w:jc w:val="right"/>
              <w:ind w:right="368"/>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F1F2F2"/>
          </w:tcPr>
          <w:p>
            <w:pPr>
              <w:jc w:val="right"/>
              <w:spacing w:after="0"/>
              <w:rPr>
                <w:sz w:val="20"/>
                <w:szCs w:val="20"/>
                <w:color w:val="auto"/>
              </w:rPr>
            </w:pPr>
            <w:r>
              <w:rPr>
                <w:rFonts w:ascii="Arial" w:cs="Arial" w:eastAsia="Arial" w:hAnsi="Arial"/>
                <w:sz w:val="14"/>
                <w:szCs w:val="14"/>
                <w:color w:val="auto"/>
              </w:rPr>
              <w:t>—</w:t>
            </w:r>
          </w:p>
        </w:tc>
        <w:tc>
          <w:tcPr>
            <w:tcW w:w="1700" w:type="dxa"/>
            <w:vAlign w:val="bottom"/>
            <w:vMerge w:val="restart"/>
            <w:shd w:val="clear" w:color="auto" w:fill="F1F2F2"/>
          </w:tcPr>
          <w:p>
            <w:pPr>
              <w:jc w:val="right"/>
              <w:ind w:right="68"/>
              <w:spacing w:after="0"/>
              <w:rPr>
                <w:sz w:val="20"/>
                <w:szCs w:val="20"/>
                <w:color w:val="auto"/>
              </w:rPr>
            </w:pPr>
            <w:r>
              <w:rPr>
                <w:rFonts w:ascii="Arial" w:cs="Arial" w:eastAsia="Arial" w:hAnsi="Arial"/>
                <w:sz w:val="14"/>
                <w:szCs w:val="14"/>
                <w:color w:val="auto"/>
              </w:rPr>
              <w:t>22,802</w:t>
            </w:r>
          </w:p>
        </w:tc>
        <w:tc>
          <w:tcPr>
            <w:tcW w:w="1560" w:type="dxa"/>
            <w:vAlign w:val="bottom"/>
            <w:vMerge w:val="restart"/>
            <w:shd w:val="clear" w:color="auto" w:fill="F1F2F2"/>
          </w:tcPr>
          <w:p>
            <w:pPr>
              <w:jc w:val="right"/>
              <w:ind w:right="148"/>
              <w:spacing w:after="0"/>
              <w:rPr>
                <w:sz w:val="20"/>
                <w:szCs w:val="20"/>
                <w:color w:val="auto"/>
              </w:rPr>
            </w:pPr>
            <w:r>
              <w:rPr>
                <w:rFonts w:ascii="Arial" w:cs="Arial" w:eastAsia="Arial" w:hAnsi="Arial"/>
                <w:sz w:val="14"/>
                <w:szCs w:val="14"/>
                <w:color w:val="auto"/>
              </w:rPr>
              <w:t>210,006</w:t>
            </w:r>
          </w:p>
        </w:tc>
        <w:tc>
          <w:tcPr>
            <w:tcW w:w="0" w:type="dxa"/>
            <w:vAlign w:val="bottom"/>
          </w:tcPr>
          <w:p>
            <w:pPr>
              <w:spacing w:after="0"/>
              <w:rPr>
                <w:sz w:val="1"/>
                <w:szCs w:val="1"/>
                <w:color w:val="auto"/>
              </w:rPr>
            </w:pPr>
          </w:p>
        </w:tc>
      </w:tr>
      <w:tr>
        <w:trPr>
          <w:trHeight w:val="156"/>
        </w:trPr>
        <w:tc>
          <w:tcPr>
            <w:tcW w:w="2620" w:type="dxa"/>
            <w:vAlign w:val="bottom"/>
            <w:shd w:val="clear" w:color="auto" w:fill="F1F2F2"/>
          </w:tcPr>
          <w:p>
            <w:pPr>
              <w:spacing w:after="0"/>
              <w:rPr>
                <w:sz w:val="13"/>
                <w:szCs w:val="13"/>
                <w:color w:val="auto"/>
              </w:rPr>
            </w:pPr>
          </w:p>
        </w:tc>
        <w:tc>
          <w:tcPr>
            <w:tcW w:w="880" w:type="dxa"/>
            <w:vAlign w:val="bottom"/>
            <w:vMerge w:val="continue"/>
            <w:shd w:val="clear" w:color="auto" w:fill="F1F2F2"/>
          </w:tcPr>
          <w:p>
            <w:pPr>
              <w:spacing w:after="0"/>
              <w:rPr>
                <w:sz w:val="13"/>
                <w:szCs w:val="13"/>
                <w:color w:val="auto"/>
              </w:rPr>
            </w:pPr>
          </w:p>
        </w:tc>
        <w:tc>
          <w:tcPr>
            <w:tcW w:w="1700" w:type="dxa"/>
            <w:vAlign w:val="bottom"/>
            <w:vMerge w:val="continue"/>
            <w:shd w:val="clear" w:color="auto" w:fill="F1F2F2"/>
          </w:tcPr>
          <w:p>
            <w:pPr>
              <w:spacing w:after="0"/>
              <w:rPr>
                <w:sz w:val="13"/>
                <w:szCs w:val="13"/>
                <w:color w:val="auto"/>
              </w:rPr>
            </w:pPr>
          </w:p>
        </w:tc>
        <w:tc>
          <w:tcPr>
            <w:tcW w:w="1640" w:type="dxa"/>
            <w:vAlign w:val="bottom"/>
            <w:vMerge w:val="continue"/>
            <w:shd w:val="clear" w:color="auto" w:fill="F1F2F2"/>
          </w:tcPr>
          <w:p>
            <w:pPr>
              <w:spacing w:after="0"/>
              <w:rPr>
                <w:sz w:val="13"/>
                <w:szCs w:val="13"/>
                <w:color w:val="auto"/>
              </w:rPr>
            </w:pPr>
          </w:p>
        </w:tc>
        <w:tc>
          <w:tcPr>
            <w:tcW w:w="1120" w:type="dxa"/>
            <w:vAlign w:val="bottom"/>
            <w:vMerge w:val="continue"/>
            <w:shd w:val="clear" w:color="auto" w:fill="F1F2F2"/>
          </w:tcPr>
          <w:p>
            <w:pPr>
              <w:spacing w:after="0"/>
              <w:rPr>
                <w:sz w:val="13"/>
                <w:szCs w:val="13"/>
                <w:color w:val="auto"/>
              </w:rPr>
            </w:pPr>
          </w:p>
        </w:tc>
        <w:tc>
          <w:tcPr>
            <w:tcW w:w="1700" w:type="dxa"/>
            <w:vAlign w:val="bottom"/>
            <w:vMerge w:val="continue"/>
            <w:shd w:val="clear" w:color="auto" w:fill="F1F2F2"/>
          </w:tcPr>
          <w:p>
            <w:pPr>
              <w:spacing w:after="0"/>
              <w:rPr>
                <w:sz w:val="13"/>
                <w:szCs w:val="13"/>
                <w:color w:val="auto"/>
              </w:rPr>
            </w:pPr>
          </w:p>
        </w:tc>
        <w:tc>
          <w:tcPr>
            <w:tcW w:w="1560" w:type="dxa"/>
            <w:vAlign w:val="bottom"/>
            <w:vMerge w:val="continue"/>
            <w:shd w:val="clear" w:color="auto" w:fill="F1F2F2"/>
          </w:tcPr>
          <w:p>
            <w:pPr>
              <w:spacing w:after="0"/>
              <w:rPr>
                <w:sz w:val="13"/>
                <w:szCs w:val="13"/>
                <w:color w:val="auto"/>
              </w:rPr>
            </w:pPr>
          </w:p>
        </w:tc>
        <w:tc>
          <w:tcPr>
            <w:tcW w:w="0" w:type="dxa"/>
            <w:vAlign w:val="bottom"/>
          </w:tcPr>
          <w:p>
            <w:pPr>
              <w:spacing w:after="0"/>
              <w:rPr>
                <w:sz w:val="1"/>
                <w:szCs w:val="1"/>
                <w:color w:val="auto"/>
              </w:rPr>
            </w:pPr>
          </w:p>
        </w:tc>
      </w:tr>
      <w:tr>
        <w:trPr>
          <w:trHeight w:val="76"/>
        </w:trPr>
        <w:tc>
          <w:tcPr>
            <w:tcW w:w="2620" w:type="dxa"/>
            <w:vAlign w:val="bottom"/>
            <w:shd w:val="clear" w:color="auto" w:fill="F1F2F2"/>
          </w:tcPr>
          <w:p>
            <w:pPr>
              <w:spacing w:after="0"/>
              <w:rPr>
                <w:sz w:val="6"/>
                <w:szCs w:val="6"/>
                <w:color w:val="auto"/>
              </w:rPr>
            </w:pPr>
          </w:p>
        </w:tc>
        <w:tc>
          <w:tcPr>
            <w:tcW w:w="880" w:type="dxa"/>
            <w:vAlign w:val="bottom"/>
            <w:shd w:val="clear" w:color="auto" w:fill="F1F2F2"/>
          </w:tcPr>
          <w:p>
            <w:pPr>
              <w:spacing w:after="0"/>
              <w:rPr>
                <w:sz w:val="6"/>
                <w:szCs w:val="6"/>
                <w:color w:val="auto"/>
              </w:rPr>
            </w:pPr>
          </w:p>
        </w:tc>
        <w:tc>
          <w:tcPr>
            <w:tcW w:w="1700" w:type="dxa"/>
            <w:vAlign w:val="bottom"/>
            <w:shd w:val="clear" w:color="auto" w:fill="F1F2F2"/>
          </w:tcPr>
          <w:p>
            <w:pPr>
              <w:spacing w:after="0"/>
              <w:rPr>
                <w:sz w:val="6"/>
                <w:szCs w:val="6"/>
                <w:color w:val="auto"/>
              </w:rPr>
            </w:pPr>
          </w:p>
        </w:tc>
        <w:tc>
          <w:tcPr>
            <w:tcW w:w="1640" w:type="dxa"/>
            <w:vAlign w:val="bottom"/>
            <w:shd w:val="clear" w:color="auto" w:fill="F1F2F2"/>
          </w:tcPr>
          <w:p>
            <w:pPr>
              <w:spacing w:after="0"/>
              <w:rPr>
                <w:sz w:val="6"/>
                <w:szCs w:val="6"/>
                <w:color w:val="auto"/>
              </w:rPr>
            </w:pPr>
          </w:p>
        </w:tc>
        <w:tc>
          <w:tcPr>
            <w:tcW w:w="1120" w:type="dxa"/>
            <w:vAlign w:val="bottom"/>
            <w:shd w:val="clear" w:color="auto" w:fill="F1F2F2"/>
          </w:tcPr>
          <w:p>
            <w:pPr>
              <w:spacing w:after="0"/>
              <w:rPr>
                <w:sz w:val="6"/>
                <w:szCs w:val="6"/>
                <w:color w:val="auto"/>
              </w:rPr>
            </w:pPr>
          </w:p>
        </w:tc>
        <w:tc>
          <w:tcPr>
            <w:tcW w:w="1700" w:type="dxa"/>
            <w:vAlign w:val="bottom"/>
            <w:shd w:val="clear" w:color="auto" w:fill="F1F2F2"/>
          </w:tcPr>
          <w:p>
            <w:pPr>
              <w:spacing w:after="0"/>
              <w:rPr>
                <w:sz w:val="6"/>
                <w:szCs w:val="6"/>
                <w:color w:val="auto"/>
              </w:rPr>
            </w:pPr>
          </w:p>
        </w:tc>
        <w:tc>
          <w:tcPr>
            <w:tcW w:w="1560" w:type="dxa"/>
            <w:vAlign w:val="bottom"/>
            <w:shd w:val="clear" w:color="auto" w:fill="F1F2F2"/>
          </w:tcPr>
          <w:p>
            <w:pPr>
              <w:spacing w:after="0"/>
              <w:rPr>
                <w:sz w:val="6"/>
                <w:szCs w:val="6"/>
                <w:color w:val="auto"/>
              </w:rPr>
            </w:pPr>
          </w:p>
        </w:tc>
        <w:tc>
          <w:tcPr>
            <w:tcW w:w="0" w:type="dxa"/>
            <w:vAlign w:val="bottom"/>
          </w:tcPr>
          <w:p>
            <w:pPr>
              <w:spacing w:after="0"/>
              <w:rPr>
                <w:sz w:val="1"/>
                <w:szCs w:val="1"/>
                <w:color w:val="auto"/>
              </w:rPr>
            </w:pPr>
          </w:p>
        </w:tc>
      </w:tr>
      <w:tr>
        <w:trPr>
          <w:trHeight w:val="306"/>
        </w:trPr>
        <w:tc>
          <w:tcPr>
            <w:tcW w:w="26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rPr>
              <w:t>—</w:t>
            </w:r>
          </w:p>
        </w:tc>
        <w:tc>
          <w:tcPr>
            <w:tcW w:w="1700" w:type="dxa"/>
            <w:vAlign w:val="bottom"/>
          </w:tcPr>
          <w:p>
            <w:pPr>
              <w:jc w:val="right"/>
              <w:ind w:right="208"/>
              <w:spacing w:after="0"/>
              <w:rPr>
                <w:sz w:val="20"/>
                <w:szCs w:val="20"/>
                <w:color w:val="auto"/>
              </w:rPr>
            </w:pPr>
            <w:r>
              <w:rPr>
                <w:rFonts w:ascii="Arial" w:cs="Arial" w:eastAsia="Arial" w:hAnsi="Arial"/>
                <w:sz w:val="14"/>
                <w:szCs w:val="14"/>
                <w:color w:val="auto"/>
              </w:rPr>
              <w:t>65,983</w:t>
            </w:r>
          </w:p>
        </w:tc>
        <w:tc>
          <w:tcPr>
            <w:tcW w:w="1640" w:type="dxa"/>
            <w:vAlign w:val="bottom"/>
          </w:tcPr>
          <w:p>
            <w:pPr>
              <w:jc w:val="right"/>
              <w:ind w:right="308"/>
              <w:spacing w:after="0"/>
              <w:rPr>
                <w:sz w:val="20"/>
                <w:szCs w:val="20"/>
                <w:color w:val="auto"/>
              </w:rPr>
            </w:pPr>
            <w:r>
              <w:rPr>
                <w:rFonts w:ascii="Arial" w:cs="Arial" w:eastAsia="Arial" w:hAnsi="Arial"/>
                <w:sz w:val="14"/>
                <w:szCs w:val="14"/>
                <w:color w:val="auto"/>
              </w:rPr>
              <w:t>131,967</w:t>
            </w:r>
            <w:r>
              <w:rPr>
                <w:rFonts w:ascii="Arial" w:cs="Arial" w:eastAsia="Arial" w:hAnsi="Arial"/>
                <w:sz w:val="18"/>
                <w:szCs w:val="18"/>
                <w:color w:val="auto"/>
                <w:vertAlign w:val="superscript"/>
              </w:rPr>
              <w:t>(4)</w:t>
            </w:r>
          </w:p>
        </w:tc>
        <w:tc>
          <w:tcPr>
            <w:tcW w:w="1120" w:type="dxa"/>
            <w:vAlign w:val="bottom"/>
          </w:tcPr>
          <w:p>
            <w:pPr>
              <w:jc w:val="right"/>
              <w:spacing w:after="0"/>
              <w:rPr>
                <w:sz w:val="20"/>
                <w:szCs w:val="20"/>
                <w:color w:val="auto"/>
              </w:rPr>
            </w:pPr>
            <w:r>
              <w:rPr>
                <w:rFonts w:ascii="Arial" w:cs="Arial" w:eastAsia="Arial" w:hAnsi="Arial"/>
                <w:sz w:val="14"/>
                <w:szCs w:val="14"/>
                <w:color w:val="auto"/>
              </w:rPr>
              <w:t>197,950</w:t>
            </w:r>
          </w:p>
        </w:tc>
        <w:tc>
          <w:tcPr>
            <w:tcW w:w="17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5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3"/>
        </w:trPr>
        <w:tc>
          <w:tcPr>
            <w:tcW w:w="2620" w:type="dxa"/>
            <w:vAlign w:val="bottom"/>
          </w:tcPr>
          <w:p>
            <w:pPr>
              <w:ind w:left="100"/>
              <w:spacing w:after="0"/>
              <w:rPr>
                <w:sz w:val="20"/>
                <w:szCs w:val="20"/>
                <w:color w:val="auto"/>
              </w:rPr>
            </w:pPr>
            <w:r>
              <w:rPr>
                <w:rFonts w:ascii="Arial" w:cs="Arial" w:eastAsia="Arial" w:hAnsi="Arial"/>
                <w:sz w:val="14"/>
                <w:szCs w:val="14"/>
                <w:b w:val="1"/>
                <w:bCs w:val="1"/>
                <w:color w:val="auto"/>
              </w:rPr>
              <w:t>Yongsoo Kim</w:t>
            </w:r>
          </w:p>
        </w:tc>
        <w:tc>
          <w:tcPr>
            <w:tcW w:w="880" w:type="dxa"/>
            <w:vAlign w:val="bottom"/>
          </w:tcPr>
          <w:p>
            <w:pPr>
              <w:jc w:val="center"/>
              <w:spacing w:after="0"/>
              <w:rPr>
                <w:sz w:val="20"/>
                <w:szCs w:val="20"/>
                <w:color w:val="auto"/>
              </w:rPr>
            </w:pPr>
            <w:r>
              <w:rPr>
                <w:rFonts w:ascii="Arial" w:cs="Arial" w:eastAsia="Arial" w:hAnsi="Arial"/>
                <w:sz w:val="14"/>
                <w:szCs w:val="14"/>
                <w:color w:val="auto"/>
              </w:rPr>
              <w:t>4/3/25</w:t>
            </w:r>
          </w:p>
        </w:tc>
        <w:tc>
          <w:tcPr>
            <w:tcW w:w="170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64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1700" w:type="dxa"/>
            <w:vAlign w:val="bottom"/>
          </w:tcPr>
          <w:p>
            <w:pPr>
              <w:jc w:val="right"/>
              <w:ind w:right="68"/>
              <w:spacing w:after="0"/>
              <w:rPr>
                <w:sz w:val="20"/>
                <w:szCs w:val="20"/>
                <w:color w:val="auto"/>
              </w:rPr>
            </w:pPr>
            <w:r>
              <w:rPr>
                <w:rFonts w:ascii="Arial" w:cs="Arial" w:eastAsia="Arial" w:hAnsi="Arial"/>
                <w:sz w:val="14"/>
                <w:szCs w:val="14"/>
                <w:color w:val="auto"/>
              </w:rPr>
              <w:t>9,142</w:t>
            </w:r>
          </w:p>
        </w:tc>
        <w:tc>
          <w:tcPr>
            <w:tcW w:w="1560" w:type="dxa"/>
            <w:vAlign w:val="bottom"/>
          </w:tcPr>
          <w:p>
            <w:pPr>
              <w:jc w:val="right"/>
              <w:ind w:right="148"/>
              <w:spacing w:after="0"/>
              <w:rPr>
                <w:sz w:val="20"/>
                <w:szCs w:val="20"/>
                <w:color w:val="auto"/>
              </w:rPr>
            </w:pPr>
            <w:r>
              <w:rPr>
                <w:rFonts w:ascii="Arial" w:cs="Arial" w:eastAsia="Arial" w:hAnsi="Arial"/>
                <w:sz w:val="14"/>
                <w:szCs w:val="14"/>
                <w:color w:val="auto"/>
              </w:rPr>
              <w:t>73,502</w:t>
            </w:r>
          </w:p>
        </w:tc>
        <w:tc>
          <w:tcPr>
            <w:tcW w:w="0" w:type="dxa"/>
            <w:vAlign w:val="bottom"/>
          </w:tcPr>
          <w:p>
            <w:pPr>
              <w:spacing w:after="0"/>
              <w:rPr>
                <w:sz w:val="1"/>
                <w:szCs w:val="1"/>
                <w:color w:val="auto"/>
              </w:rPr>
            </w:pPr>
          </w:p>
        </w:tc>
      </w:tr>
      <w:tr>
        <w:trPr>
          <w:trHeight w:val="318"/>
        </w:trPr>
        <w:tc>
          <w:tcPr>
            <w:tcW w:w="26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rPr>
              <w:t>3/7/25</w:t>
            </w:r>
          </w:p>
        </w:tc>
        <w:tc>
          <w:tcPr>
            <w:tcW w:w="170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64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1700" w:type="dxa"/>
            <w:vAlign w:val="bottom"/>
          </w:tcPr>
          <w:p>
            <w:pPr>
              <w:jc w:val="right"/>
              <w:ind w:right="68"/>
              <w:spacing w:after="0"/>
              <w:rPr>
                <w:sz w:val="20"/>
                <w:szCs w:val="20"/>
                <w:color w:val="auto"/>
              </w:rPr>
            </w:pPr>
            <w:r>
              <w:rPr>
                <w:rFonts w:ascii="Arial" w:cs="Arial" w:eastAsia="Arial" w:hAnsi="Arial"/>
                <w:sz w:val="14"/>
                <w:szCs w:val="14"/>
                <w:color w:val="auto"/>
              </w:rPr>
              <w:t>18,242</w:t>
            </w:r>
          </w:p>
        </w:tc>
        <w:tc>
          <w:tcPr>
            <w:tcW w:w="1560" w:type="dxa"/>
            <w:vAlign w:val="bottom"/>
          </w:tcPr>
          <w:p>
            <w:pPr>
              <w:jc w:val="right"/>
              <w:ind w:right="148"/>
              <w:spacing w:after="0"/>
              <w:rPr>
                <w:sz w:val="20"/>
                <w:szCs w:val="20"/>
                <w:color w:val="auto"/>
              </w:rPr>
            </w:pPr>
            <w:r>
              <w:rPr>
                <w:rFonts w:ascii="Arial" w:cs="Arial" w:eastAsia="Arial" w:hAnsi="Arial"/>
                <w:sz w:val="14"/>
                <w:szCs w:val="14"/>
                <w:color w:val="auto"/>
              </w:rPr>
              <w:t>168,009</w:t>
            </w:r>
          </w:p>
        </w:tc>
        <w:tc>
          <w:tcPr>
            <w:tcW w:w="0" w:type="dxa"/>
            <w:vAlign w:val="bottom"/>
          </w:tcPr>
          <w:p>
            <w:pPr>
              <w:spacing w:after="0"/>
              <w:rPr>
                <w:sz w:val="1"/>
                <w:szCs w:val="1"/>
                <w:color w:val="auto"/>
              </w:rPr>
            </w:pPr>
          </w:p>
        </w:tc>
      </w:tr>
      <w:tr>
        <w:trPr>
          <w:trHeight w:val="76"/>
        </w:trPr>
        <w:tc>
          <w:tcPr>
            <w:tcW w:w="26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8"/>
        </w:trPr>
        <w:tc>
          <w:tcPr>
            <w:tcW w:w="2620" w:type="dxa"/>
            <w:vAlign w:val="bottom"/>
            <w:vMerge w:val="restart"/>
            <w:shd w:val="clear" w:color="auto" w:fill="F1F2F2"/>
          </w:tcPr>
          <w:p>
            <w:pPr>
              <w:ind w:left="100"/>
              <w:spacing w:after="0"/>
              <w:rPr>
                <w:sz w:val="20"/>
                <w:szCs w:val="20"/>
                <w:color w:val="auto"/>
              </w:rPr>
            </w:pPr>
            <w:r>
              <w:rPr>
                <w:rFonts w:ascii="Arial" w:cs="Arial" w:eastAsia="Arial" w:hAnsi="Arial"/>
                <w:sz w:val="14"/>
                <w:szCs w:val="14"/>
                <w:b w:val="1"/>
                <w:bCs w:val="1"/>
                <w:color w:val="auto"/>
              </w:rPr>
              <w:t>Hyeeun Son</w:t>
            </w:r>
          </w:p>
        </w:tc>
        <w:tc>
          <w:tcPr>
            <w:tcW w:w="880" w:type="dxa"/>
            <w:vAlign w:val="bottom"/>
            <w:shd w:val="clear" w:color="auto" w:fill="F1F2F2"/>
          </w:tcPr>
          <w:p>
            <w:pPr>
              <w:jc w:val="center"/>
              <w:spacing w:after="0"/>
              <w:rPr>
                <w:sz w:val="20"/>
                <w:szCs w:val="20"/>
                <w:color w:val="auto"/>
              </w:rPr>
            </w:pPr>
            <w:r>
              <w:rPr>
                <w:rFonts w:ascii="Arial" w:cs="Arial" w:eastAsia="Arial" w:hAnsi="Arial"/>
                <w:sz w:val="14"/>
                <w:szCs w:val="14"/>
                <w:color w:val="auto"/>
              </w:rPr>
              <w:t>—</w:t>
            </w:r>
          </w:p>
        </w:tc>
        <w:tc>
          <w:tcPr>
            <w:tcW w:w="1700" w:type="dxa"/>
            <w:vAlign w:val="bottom"/>
            <w:shd w:val="clear" w:color="auto" w:fill="F1F2F2"/>
          </w:tcPr>
          <w:p>
            <w:pPr>
              <w:jc w:val="right"/>
              <w:ind w:right="208"/>
              <w:spacing w:after="0"/>
              <w:rPr>
                <w:sz w:val="20"/>
                <w:szCs w:val="20"/>
                <w:color w:val="auto"/>
              </w:rPr>
            </w:pPr>
            <w:r>
              <w:rPr>
                <w:rFonts w:ascii="Arial" w:cs="Arial" w:eastAsia="Arial" w:hAnsi="Arial"/>
                <w:sz w:val="14"/>
                <w:szCs w:val="14"/>
                <w:color w:val="auto"/>
              </w:rPr>
              <w:t>43,104</w:t>
            </w:r>
          </w:p>
        </w:tc>
        <w:tc>
          <w:tcPr>
            <w:tcW w:w="1640" w:type="dxa"/>
            <w:vAlign w:val="bottom"/>
            <w:shd w:val="clear" w:color="auto" w:fill="F1F2F2"/>
          </w:tcPr>
          <w:p>
            <w:pPr>
              <w:jc w:val="right"/>
              <w:ind w:right="368"/>
              <w:spacing w:after="0"/>
              <w:rPr>
                <w:sz w:val="20"/>
                <w:szCs w:val="20"/>
                <w:color w:val="auto"/>
              </w:rPr>
            </w:pPr>
            <w:r>
              <w:rPr>
                <w:rFonts w:ascii="Arial" w:cs="Arial" w:eastAsia="Arial" w:hAnsi="Arial"/>
                <w:sz w:val="14"/>
                <w:szCs w:val="14"/>
                <w:color w:val="auto"/>
              </w:rPr>
              <w:t>86,208</w:t>
            </w:r>
          </w:p>
        </w:tc>
        <w:tc>
          <w:tcPr>
            <w:tcW w:w="1120" w:type="dxa"/>
            <w:vAlign w:val="bottom"/>
            <w:shd w:val="clear" w:color="auto" w:fill="F1F2F2"/>
          </w:tcPr>
          <w:p>
            <w:pPr>
              <w:jc w:val="right"/>
              <w:spacing w:after="0"/>
              <w:rPr>
                <w:sz w:val="20"/>
                <w:szCs w:val="20"/>
                <w:color w:val="auto"/>
              </w:rPr>
            </w:pPr>
            <w:r>
              <w:rPr>
                <w:rFonts w:ascii="Arial" w:cs="Arial" w:eastAsia="Arial" w:hAnsi="Arial"/>
                <w:sz w:val="14"/>
                <w:szCs w:val="14"/>
                <w:color w:val="auto"/>
              </w:rPr>
              <w:t>129,312</w:t>
            </w:r>
          </w:p>
        </w:tc>
        <w:tc>
          <w:tcPr>
            <w:tcW w:w="1700" w:type="dxa"/>
            <w:vAlign w:val="bottom"/>
            <w:shd w:val="clear" w:color="auto" w:fill="F1F2F2"/>
          </w:tcPr>
          <w:p>
            <w:pPr>
              <w:jc w:val="right"/>
              <w:ind w:right="68"/>
              <w:spacing w:after="0"/>
              <w:rPr>
                <w:sz w:val="20"/>
                <w:szCs w:val="20"/>
                <w:color w:val="auto"/>
              </w:rPr>
            </w:pPr>
            <w:r>
              <w:rPr>
                <w:rFonts w:ascii="Arial" w:cs="Arial" w:eastAsia="Arial" w:hAnsi="Arial"/>
                <w:sz w:val="14"/>
                <w:szCs w:val="14"/>
                <w:color w:val="auto"/>
              </w:rPr>
              <w:t>—</w:t>
            </w:r>
          </w:p>
        </w:tc>
        <w:tc>
          <w:tcPr>
            <w:tcW w:w="1560" w:type="dxa"/>
            <w:vAlign w:val="bottom"/>
            <w:shd w:val="clear" w:color="auto" w:fill="F1F2F2"/>
          </w:tcPr>
          <w:p>
            <w:pPr>
              <w:jc w:val="right"/>
              <w:ind w:right="1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8"/>
        </w:trPr>
        <w:tc>
          <w:tcPr>
            <w:tcW w:w="2620" w:type="dxa"/>
            <w:vAlign w:val="bottom"/>
            <w:vMerge w:val="continue"/>
            <w:shd w:val="clear" w:color="auto" w:fill="F1F2F2"/>
          </w:tcPr>
          <w:p>
            <w:pPr>
              <w:spacing w:after="0"/>
              <w:rPr>
                <w:sz w:val="14"/>
                <w:szCs w:val="14"/>
                <w:color w:val="auto"/>
              </w:rPr>
            </w:pPr>
          </w:p>
        </w:tc>
        <w:tc>
          <w:tcPr>
            <w:tcW w:w="880" w:type="dxa"/>
            <w:vAlign w:val="bottom"/>
            <w:vMerge w:val="restart"/>
            <w:shd w:val="clear" w:color="auto" w:fill="F1F2F2"/>
          </w:tcPr>
          <w:p>
            <w:pPr>
              <w:jc w:val="center"/>
              <w:spacing w:after="0"/>
              <w:rPr>
                <w:sz w:val="20"/>
                <w:szCs w:val="20"/>
                <w:color w:val="auto"/>
              </w:rPr>
            </w:pPr>
            <w:r>
              <w:rPr>
                <w:rFonts w:ascii="Arial" w:cs="Arial" w:eastAsia="Arial" w:hAnsi="Arial"/>
                <w:sz w:val="14"/>
                <w:szCs w:val="14"/>
                <w:color w:val="auto"/>
              </w:rPr>
              <w:t>3/7/25</w:t>
            </w:r>
          </w:p>
        </w:tc>
        <w:tc>
          <w:tcPr>
            <w:tcW w:w="1700" w:type="dxa"/>
            <w:vAlign w:val="bottom"/>
            <w:vMerge w:val="restart"/>
            <w:shd w:val="clear" w:color="auto" w:fill="F1F2F2"/>
          </w:tcPr>
          <w:p>
            <w:pPr>
              <w:jc w:val="right"/>
              <w:ind w:right="208"/>
              <w:spacing w:after="0"/>
              <w:rPr>
                <w:sz w:val="20"/>
                <w:szCs w:val="20"/>
                <w:color w:val="auto"/>
              </w:rPr>
            </w:pPr>
            <w:r>
              <w:rPr>
                <w:rFonts w:ascii="Arial" w:cs="Arial" w:eastAsia="Arial" w:hAnsi="Arial"/>
                <w:sz w:val="14"/>
                <w:szCs w:val="14"/>
                <w:color w:val="auto"/>
              </w:rPr>
              <w:t>—</w:t>
            </w:r>
          </w:p>
        </w:tc>
        <w:tc>
          <w:tcPr>
            <w:tcW w:w="1640" w:type="dxa"/>
            <w:vAlign w:val="bottom"/>
            <w:vMerge w:val="restart"/>
            <w:shd w:val="clear" w:color="auto" w:fill="F1F2F2"/>
          </w:tcPr>
          <w:p>
            <w:pPr>
              <w:jc w:val="right"/>
              <w:ind w:right="368"/>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F1F2F2"/>
          </w:tcPr>
          <w:p>
            <w:pPr>
              <w:jc w:val="right"/>
              <w:spacing w:after="0"/>
              <w:rPr>
                <w:sz w:val="20"/>
                <w:szCs w:val="20"/>
                <w:color w:val="auto"/>
              </w:rPr>
            </w:pPr>
            <w:r>
              <w:rPr>
                <w:rFonts w:ascii="Arial" w:cs="Arial" w:eastAsia="Arial" w:hAnsi="Arial"/>
                <w:sz w:val="14"/>
                <w:szCs w:val="14"/>
                <w:color w:val="auto"/>
              </w:rPr>
              <w:t>—</w:t>
            </w:r>
          </w:p>
        </w:tc>
        <w:tc>
          <w:tcPr>
            <w:tcW w:w="1700" w:type="dxa"/>
            <w:vAlign w:val="bottom"/>
            <w:vMerge w:val="restart"/>
            <w:shd w:val="clear" w:color="auto" w:fill="F1F2F2"/>
          </w:tcPr>
          <w:p>
            <w:pPr>
              <w:jc w:val="right"/>
              <w:ind w:right="68"/>
              <w:spacing w:after="0"/>
              <w:rPr>
                <w:sz w:val="20"/>
                <w:szCs w:val="20"/>
                <w:color w:val="auto"/>
              </w:rPr>
            </w:pPr>
            <w:r>
              <w:rPr>
                <w:rFonts w:ascii="Arial" w:cs="Arial" w:eastAsia="Arial" w:hAnsi="Arial"/>
                <w:sz w:val="14"/>
                <w:szCs w:val="14"/>
                <w:color w:val="auto"/>
              </w:rPr>
              <w:t>18,242</w:t>
            </w:r>
          </w:p>
        </w:tc>
        <w:tc>
          <w:tcPr>
            <w:tcW w:w="1560" w:type="dxa"/>
            <w:vAlign w:val="bottom"/>
            <w:vMerge w:val="restart"/>
            <w:shd w:val="clear" w:color="auto" w:fill="F1F2F2"/>
          </w:tcPr>
          <w:p>
            <w:pPr>
              <w:jc w:val="right"/>
              <w:ind w:right="148"/>
              <w:spacing w:after="0"/>
              <w:rPr>
                <w:sz w:val="20"/>
                <w:szCs w:val="20"/>
                <w:color w:val="auto"/>
              </w:rPr>
            </w:pPr>
            <w:r>
              <w:rPr>
                <w:rFonts w:ascii="Arial" w:cs="Arial" w:eastAsia="Arial" w:hAnsi="Arial"/>
                <w:sz w:val="14"/>
                <w:szCs w:val="14"/>
                <w:color w:val="auto"/>
              </w:rPr>
              <w:t>168,009</w:t>
            </w:r>
          </w:p>
        </w:tc>
        <w:tc>
          <w:tcPr>
            <w:tcW w:w="0" w:type="dxa"/>
            <w:vAlign w:val="bottom"/>
          </w:tcPr>
          <w:p>
            <w:pPr>
              <w:spacing w:after="0"/>
              <w:rPr>
                <w:sz w:val="1"/>
                <w:szCs w:val="1"/>
                <w:color w:val="auto"/>
              </w:rPr>
            </w:pPr>
          </w:p>
        </w:tc>
      </w:tr>
      <w:tr>
        <w:trPr>
          <w:trHeight w:val="156"/>
        </w:trPr>
        <w:tc>
          <w:tcPr>
            <w:tcW w:w="2620" w:type="dxa"/>
            <w:vAlign w:val="bottom"/>
            <w:shd w:val="clear" w:color="auto" w:fill="F1F2F2"/>
          </w:tcPr>
          <w:p>
            <w:pPr>
              <w:spacing w:after="0"/>
              <w:rPr>
                <w:sz w:val="13"/>
                <w:szCs w:val="13"/>
                <w:color w:val="auto"/>
              </w:rPr>
            </w:pPr>
          </w:p>
        </w:tc>
        <w:tc>
          <w:tcPr>
            <w:tcW w:w="880" w:type="dxa"/>
            <w:vAlign w:val="bottom"/>
            <w:vMerge w:val="continue"/>
            <w:shd w:val="clear" w:color="auto" w:fill="F1F2F2"/>
          </w:tcPr>
          <w:p>
            <w:pPr>
              <w:spacing w:after="0"/>
              <w:rPr>
                <w:sz w:val="13"/>
                <w:szCs w:val="13"/>
                <w:color w:val="auto"/>
              </w:rPr>
            </w:pPr>
          </w:p>
        </w:tc>
        <w:tc>
          <w:tcPr>
            <w:tcW w:w="1700" w:type="dxa"/>
            <w:vAlign w:val="bottom"/>
            <w:vMerge w:val="continue"/>
            <w:shd w:val="clear" w:color="auto" w:fill="F1F2F2"/>
          </w:tcPr>
          <w:p>
            <w:pPr>
              <w:spacing w:after="0"/>
              <w:rPr>
                <w:sz w:val="13"/>
                <w:szCs w:val="13"/>
                <w:color w:val="auto"/>
              </w:rPr>
            </w:pPr>
          </w:p>
        </w:tc>
        <w:tc>
          <w:tcPr>
            <w:tcW w:w="1640" w:type="dxa"/>
            <w:vAlign w:val="bottom"/>
            <w:vMerge w:val="continue"/>
            <w:shd w:val="clear" w:color="auto" w:fill="F1F2F2"/>
          </w:tcPr>
          <w:p>
            <w:pPr>
              <w:spacing w:after="0"/>
              <w:rPr>
                <w:sz w:val="13"/>
                <w:szCs w:val="13"/>
                <w:color w:val="auto"/>
              </w:rPr>
            </w:pPr>
          </w:p>
        </w:tc>
        <w:tc>
          <w:tcPr>
            <w:tcW w:w="1120" w:type="dxa"/>
            <w:vAlign w:val="bottom"/>
            <w:vMerge w:val="continue"/>
            <w:shd w:val="clear" w:color="auto" w:fill="F1F2F2"/>
          </w:tcPr>
          <w:p>
            <w:pPr>
              <w:spacing w:after="0"/>
              <w:rPr>
                <w:sz w:val="13"/>
                <w:szCs w:val="13"/>
                <w:color w:val="auto"/>
              </w:rPr>
            </w:pPr>
          </w:p>
        </w:tc>
        <w:tc>
          <w:tcPr>
            <w:tcW w:w="1700" w:type="dxa"/>
            <w:vAlign w:val="bottom"/>
            <w:vMerge w:val="continue"/>
            <w:shd w:val="clear" w:color="auto" w:fill="F1F2F2"/>
          </w:tcPr>
          <w:p>
            <w:pPr>
              <w:spacing w:after="0"/>
              <w:rPr>
                <w:sz w:val="13"/>
                <w:szCs w:val="13"/>
                <w:color w:val="auto"/>
              </w:rPr>
            </w:pPr>
          </w:p>
        </w:tc>
        <w:tc>
          <w:tcPr>
            <w:tcW w:w="1560" w:type="dxa"/>
            <w:vAlign w:val="bottom"/>
            <w:vMerge w:val="continue"/>
            <w:shd w:val="clear" w:color="auto" w:fill="F1F2F2"/>
          </w:tcPr>
          <w:p>
            <w:pPr>
              <w:spacing w:after="0"/>
              <w:rPr>
                <w:sz w:val="13"/>
                <w:szCs w:val="13"/>
                <w:color w:val="auto"/>
              </w:rPr>
            </w:pPr>
          </w:p>
        </w:tc>
        <w:tc>
          <w:tcPr>
            <w:tcW w:w="0" w:type="dxa"/>
            <w:vAlign w:val="bottom"/>
          </w:tcPr>
          <w:p>
            <w:pPr>
              <w:spacing w:after="0"/>
              <w:rPr>
                <w:sz w:val="1"/>
                <w:szCs w:val="1"/>
                <w:color w:val="auto"/>
              </w:rPr>
            </w:pPr>
          </w:p>
        </w:tc>
      </w:tr>
      <w:tr>
        <w:trPr>
          <w:trHeight w:val="76"/>
        </w:trPr>
        <w:tc>
          <w:tcPr>
            <w:tcW w:w="2620" w:type="dxa"/>
            <w:vAlign w:val="bottom"/>
            <w:tcBorders>
              <w:bottom w:val="single" w:sz="8" w:color="auto"/>
            </w:tcBorders>
            <w:shd w:val="clear" w:color="auto" w:fill="F1F2F2"/>
          </w:tcPr>
          <w:p>
            <w:pPr>
              <w:spacing w:after="0"/>
              <w:rPr>
                <w:sz w:val="6"/>
                <w:szCs w:val="6"/>
                <w:color w:val="auto"/>
              </w:rPr>
            </w:pPr>
          </w:p>
        </w:tc>
        <w:tc>
          <w:tcPr>
            <w:tcW w:w="880" w:type="dxa"/>
            <w:vAlign w:val="bottom"/>
            <w:tcBorders>
              <w:bottom w:val="single" w:sz="8" w:color="auto"/>
            </w:tcBorders>
            <w:shd w:val="clear" w:color="auto" w:fill="F1F2F2"/>
          </w:tcPr>
          <w:p>
            <w:pPr>
              <w:spacing w:after="0"/>
              <w:rPr>
                <w:sz w:val="6"/>
                <w:szCs w:val="6"/>
                <w:color w:val="auto"/>
              </w:rPr>
            </w:pPr>
          </w:p>
        </w:tc>
        <w:tc>
          <w:tcPr>
            <w:tcW w:w="1700" w:type="dxa"/>
            <w:vAlign w:val="bottom"/>
            <w:tcBorders>
              <w:bottom w:val="single" w:sz="8" w:color="auto"/>
            </w:tcBorders>
            <w:shd w:val="clear" w:color="auto" w:fill="F1F2F2"/>
          </w:tcPr>
          <w:p>
            <w:pPr>
              <w:spacing w:after="0"/>
              <w:rPr>
                <w:sz w:val="6"/>
                <w:szCs w:val="6"/>
                <w:color w:val="auto"/>
              </w:rPr>
            </w:pPr>
          </w:p>
        </w:tc>
        <w:tc>
          <w:tcPr>
            <w:tcW w:w="1640" w:type="dxa"/>
            <w:vAlign w:val="bottom"/>
            <w:tcBorders>
              <w:bottom w:val="single" w:sz="8" w:color="auto"/>
            </w:tcBorders>
            <w:shd w:val="clear" w:color="auto" w:fill="F1F2F2"/>
          </w:tcPr>
          <w:p>
            <w:pPr>
              <w:spacing w:after="0"/>
              <w:rPr>
                <w:sz w:val="6"/>
                <w:szCs w:val="6"/>
                <w:color w:val="auto"/>
              </w:rPr>
            </w:pPr>
          </w:p>
        </w:tc>
        <w:tc>
          <w:tcPr>
            <w:tcW w:w="1120" w:type="dxa"/>
            <w:vAlign w:val="bottom"/>
            <w:tcBorders>
              <w:bottom w:val="single" w:sz="8" w:color="auto"/>
            </w:tcBorders>
            <w:shd w:val="clear" w:color="auto" w:fill="F1F2F2"/>
          </w:tcPr>
          <w:p>
            <w:pPr>
              <w:spacing w:after="0"/>
              <w:rPr>
                <w:sz w:val="6"/>
                <w:szCs w:val="6"/>
                <w:color w:val="auto"/>
              </w:rPr>
            </w:pPr>
          </w:p>
        </w:tc>
        <w:tc>
          <w:tcPr>
            <w:tcW w:w="1700" w:type="dxa"/>
            <w:vAlign w:val="bottom"/>
            <w:tcBorders>
              <w:bottom w:val="single" w:sz="8" w:color="auto"/>
            </w:tcBorders>
            <w:shd w:val="clear" w:color="auto" w:fill="F1F2F2"/>
          </w:tcPr>
          <w:p>
            <w:pPr>
              <w:spacing w:after="0"/>
              <w:rPr>
                <w:sz w:val="6"/>
                <w:szCs w:val="6"/>
                <w:color w:val="auto"/>
              </w:rPr>
            </w:pPr>
          </w:p>
        </w:tc>
        <w:tc>
          <w:tcPr>
            <w:tcW w:w="1560" w:type="dxa"/>
            <w:vAlign w:val="bottom"/>
            <w:tcBorders>
              <w:bottom w:val="single" w:sz="8" w:color="auto"/>
            </w:tcBorders>
            <w:shd w:val="clear" w:color="auto" w:fill="F1F2F2"/>
          </w:tcPr>
          <w:p>
            <w:pPr>
              <w:spacing w:after="0"/>
              <w:rPr>
                <w:sz w:val="6"/>
                <w:szCs w:val="6"/>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340" w:hanging="332"/>
        <w:spacing w:after="0" w:line="272" w:lineRule="auto"/>
        <w:tabs>
          <w:tab w:leader="none" w:pos="338" w:val="left"/>
        </w:tabs>
        <w:numPr>
          <w:ilvl w:val="0"/>
          <w:numId w:val="24"/>
        </w:numPr>
        <w:rPr>
          <w:rFonts w:ascii="Arial" w:cs="Arial" w:eastAsia="Arial" w:hAnsi="Arial"/>
          <w:sz w:val="14"/>
          <w:szCs w:val="14"/>
          <w:color w:val="auto"/>
        </w:rPr>
      </w:pPr>
      <w:r>
        <w:rPr>
          <w:rFonts w:ascii="Arial" w:cs="Arial" w:eastAsia="Arial" w:hAnsi="Arial"/>
          <w:sz w:val="14"/>
          <w:szCs w:val="14"/>
          <w:color w:val="auto"/>
        </w:rPr>
        <w:t>Amounts in this column represent annual performance-based cash bonus opportunities granted to our NEOs in fiscal year 2025, as further described in the section above titled “Compensation Discussion and Analysis – Annual Cash Bonuses.” Amounts in this column for Chankyu Park represents a threshold of 96,000,000 KRW, a target of 192,000,000 KRW and a maximum of 288,000,000 KRW. Amounts in this column for Hyeeun Son represents a threshold of 61,850,000 KRW, a target of 123,700,000 KRW and a maximum of 185,550,000 KRW. The amounts in this column for Chankyu Park and Hyeeun Son were converted to U.S. dollars (USD) from Korean Won (KRW) based on the USD/KRW exchange rate of 1,434.90 on December 31, 2025.</w:t>
      </w:r>
    </w:p>
    <w:p>
      <w:pPr>
        <w:spacing w:after="0" w:line="5" w:lineRule="exact"/>
        <w:rPr>
          <w:rFonts w:ascii="Arial" w:cs="Arial" w:eastAsia="Arial" w:hAnsi="Arial"/>
          <w:sz w:val="14"/>
          <w:szCs w:val="14"/>
          <w:color w:val="auto"/>
        </w:rPr>
      </w:pPr>
    </w:p>
    <w:p>
      <w:pPr>
        <w:ind w:left="340" w:right="140" w:hanging="332"/>
        <w:spacing w:after="0" w:line="301" w:lineRule="auto"/>
        <w:tabs>
          <w:tab w:leader="none" w:pos="338" w:val="left"/>
        </w:tabs>
        <w:numPr>
          <w:ilvl w:val="0"/>
          <w:numId w:val="24"/>
        </w:numPr>
        <w:rPr>
          <w:rFonts w:ascii="Arial" w:cs="Arial" w:eastAsia="Arial" w:hAnsi="Arial"/>
          <w:sz w:val="14"/>
          <w:szCs w:val="14"/>
          <w:color w:val="auto"/>
        </w:rPr>
      </w:pPr>
      <w:r>
        <w:rPr>
          <w:rFonts w:ascii="Arial" w:cs="Arial" w:eastAsia="Arial" w:hAnsi="Arial"/>
          <w:sz w:val="14"/>
          <w:szCs w:val="14"/>
          <w:color w:val="auto"/>
        </w:rPr>
        <w:t>Amounts in this column represent RSU awards granted to our NEOs in fiscal year 2025 under the Incentive Plan. For additional information, please see the section below titled “Compensation Discussion and Analysis – Long-Term Incentive Compensation.”</w:t>
      </w:r>
    </w:p>
    <w:p>
      <w:pPr>
        <w:spacing w:after="0" w:line="1" w:lineRule="exact"/>
        <w:rPr>
          <w:rFonts w:ascii="Arial" w:cs="Arial" w:eastAsia="Arial" w:hAnsi="Arial"/>
          <w:sz w:val="14"/>
          <w:szCs w:val="14"/>
          <w:color w:val="auto"/>
        </w:rPr>
      </w:pPr>
    </w:p>
    <w:p>
      <w:pPr>
        <w:ind w:left="340" w:right="20" w:hanging="332"/>
        <w:spacing w:after="0" w:line="301" w:lineRule="auto"/>
        <w:tabs>
          <w:tab w:leader="none" w:pos="338"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This amount reflects David J. Lee’s target annual performance-based cash bonus opportunity for fiscal year 2025 and does not include the guaranteed portion of his annual cash bonus equal to 50% of his base salary for fiscal year 2025 (i.e., $250,000).</w:t>
      </w:r>
    </w:p>
    <w:p>
      <w:pPr>
        <w:spacing w:after="0" w:line="1" w:lineRule="exact"/>
        <w:rPr>
          <w:rFonts w:ascii="Arial" w:cs="Arial" w:eastAsia="Arial" w:hAnsi="Arial"/>
          <w:sz w:val="14"/>
          <w:szCs w:val="14"/>
          <w:color w:val="auto"/>
        </w:rPr>
      </w:pPr>
    </w:p>
    <w:p>
      <w:pPr>
        <w:ind w:left="340" w:right="500" w:hanging="332"/>
        <w:spacing w:after="0" w:line="285" w:lineRule="auto"/>
        <w:tabs>
          <w:tab w:leader="none" w:pos="338" w:val="left"/>
        </w:tabs>
        <w:numPr>
          <w:ilvl w:val="0"/>
          <w:numId w:val="24"/>
        </w:numPr>
        <w:rPr>
          <w:rFonts w:ascii="Arial" w:cs="Arial" w:eastAsia="Arial" w:hAnsi="Arial"/>
          <w:sz w:val="14"/>
          <w:szCs w:val="14"/>
          <w:color w:val="auto"/>
        </w:rPr>
      </w:pPr>
      <w:r>
        <w:rPr>
          <w:rFonts w:ascii="Arial" w:cs="Arial" w:eastAsia="Arial" w:hAnsi="Arial"/>
          <w:sz w:val="14"/>
          <w:szCs w:val="14"/>
          <w:color w:val="auto"/>
        </w:rPr>
        <w:t>Represents the U.S. dollar equivalent of a target bonus of 180,000,000 Korean Won pursuant to Yongsoo Kim’s business delegation agreement, converted using an exchange rate of 1,363.98 Korean Won per U.S. dollar, which was the rate applied for Board approval of the award.</w:t>
      </w:r>
    </w:p>
    <w:p>
      <w:pPr>
        <w:spacing w:after="0" w:line="353" w:lineRule="exact"/>
        <w:rPr>
          <w:sz w:val="20"/>
          <w:szCs w:val="20"/>
          <w:color w:val="auto"/>
        </w:rPr>
      </w:pPr>
    </w:p>
    <w:p>
      <w:pPr>
        <w:ind w:left="20"/>
        <w:spacing w:after="0"/>
        <w:tabs>
          <w:tab w:leader="none" w:pos="5360" w:val="left"/>
        </w:tabs>
        <w:rPr>
          <w:sz w:val="20"/>
          <w:szCs w:val="20"/>
          <w:color w:val="auto"/>
        </w:rPr>
      </w:pPr>
      <w:r>
        <w:rPr>
          <w:rFonts w:ascii="Arial" w:cs="Arial" w:eastAsia="Arial" w:hAnsi="Arial"/>
          <w:sz w:val="14"/>
          <w:szCs w:val="14"/>
          <w:b w:val="1"/>
          <w:bCs w:val="1"/>
          <w:color w:val="auto"/>
        </w:rPr>
        <w:t>34</w:t>
      </w:r>
      <w:r>
        <w:rPr>
          <w:sz w:val="20"/>
          <w:szCs w:val="20"/>
          <w:color w:val="auto"/>
        </w:rPr>
        <w:tab/>
      </w:r>
      <w:r>
        <w:rPr>
          <w:sz w:val="1"/>
          <w:szCs w:val="1"/>
          <w:color w:val="auto"/>
        </w:rPr>
        <w:drawing>
          <wp:inline distT="0" distB="0" distL="0" distR="0">
            <wp:extent cx="282575" cy="274320"/>
            <wp:effectExtent l="0" t="0" r="0"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82575" cy="274320"/>
                    </a:xfrm>
                    <a:prstGeom prst="rect">
                      <a:avLst/>
                    </a:prstGeom>
                    <a:noFill/>
                    <a:ln>
                      <a:noFill/>
                    </a:ln>
                  </pic:spPr>
                </pic:pic>
              </a:graphicData>
            </a:graphic>
          </wp:inline>
        </w:drawing>
      </w:r>
      <w:r>
        <w:rPr>
          <w:rFonts w:ascii="Arial" w:cs="Arial" w:eastAsia="Arial" w:hAnsi="Arial"/>
          <w:sz w:val="14"/>
          <w:szCs w:val="14"/>
          <w:b w:val="1"/>
          <w:bCs w:val="1"/>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167005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right="60"/>
        <w:spacing w:after="0" w:line="298" w:lineRule="auto"/>
        <w:rPr>
          <w:sz w:val="20"/>
          <w:szCs w:val="20"/>
          <w:color w:val="auto"/>
        </w:rPr>
      </w:pPr>
      <w:r>
        <w:rPr>
          <w:rFonts w:ascii="Arial" w:cs="Arial" w:eastAsia="Arial" w:hAnsi="Arial"/>
          <w:sz w:val="20"/>
          <w:szCs w:val="20"/>
          <w:b w:val="1"/>
          <w:bCs w:val="1"/>
          <w:color w:val="00DC64"/>
        </w:rPr>
        <w:t>NARRATIVE DESCRIPTION TO THE SUMMARY COMPENSATION TABLE AND THE GRANTS OF PLAN-BASED AWARDS TABLE FOR THE 2025 FISCAL YEAR</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Employment Agreements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Employment Agreement and Business Delegation Agreement with Junkoo Kim</w:t>
      </w:r>
    </w:p>
    <w:p>
      <w:pPr>
        <w:spacing w:after="0" w:line="206" w:lineRule="exact"/>
        <w:rPr>
          <w:sz w:val="20"/>
          <w:szCs w:val="20"/>
          <w:color w:val="auto"/>
        </w:rPr>
      </w:pPr>
    </w:p>
    <w:p>
      <w:pPr>
        <w:ind w:right="320"/>
        <w:spacing w:after="0" w:line="299" w:lineRule="auto"/>
        <w:rPr>
          <w:sz w:val="20"/>
          <w:szCs w:val="20"/>
          <w:color w:val="auto"/>
        </w:rPr>
      </w:pPr>
      <w:r>
        <w:rPr>
          <w:rFonts w:ascii="Arial" w:cs="Arial" w:eastAsia="Arial" w:hAnsi="Arial"/>
          <w:sz w:val="16"/>
          <w:szCs w:val="16"/>
          <w:color w:val="auto"/>
        </w:rPr>
        <w:t>On November 5, 2024, we entered into an executive employment agreement with Mr. Kim effective retroactively as of January 1, 2024 (the “Kim Employment Agreement”), which remains in effect. Pursuant to the Kim Employment Agreement, Mr. Kim serves as our Chief Executive Officer. The Kim Employment Agreement has an indefinite term and will remain in effect until terminated by either party at any time (subject to Mr. Kim providing 90 days’ written notice in the event of his resignation with “good reason” (as defined in the Kim Employment Agreement)). The Kim Employment Agreement also provides for an annual base salary of $480,000 and eligibility to earn an annual incentive bonus with a target value of $570,000 and a threshold and maximum value of 50% and 150% of target, respectively. Additionally, Mr. Kim is subject to standard confidentiality provisions. The Kim Employment Agreement entitles Mr. Kim to certain severance benefits if we terminate Mr. Kim without “cause” or Mr. Kim resigns with “good reason” and enhanced severance benefits if any such termination occurs in connection with a “change in control,” in each case, subject to a release of claims. See “—Potential Payments Upon Termination or Change in Control.”</w:t>
      </w:r>
    </w:p>
    <w:p>
      <w:pPr>
        <w:spacing w:after="0" w:line="138" w:lineRule="exact"/>
        <w:rPr>
          <w:sz w:val="20"/>
          <w:szCs w:val="20"/>
          <w:color w:val="auto"/>
        </w:rPr>
      </w:pPr>
    </w:p>
    <w:p>
      <w:pPr>
        <w:ind w:right="20"/>
        <w:spacing w:after="0" w:line="303" w:lineRule="auto"/>
        <w:rPr>
          <w:sz w:val="20"/>
          <w:szCs w:val="20"/>
          <w:color w:val="auto"/>
        </w:rPr>
      </w:pPr>
      <w:r>
        <w:rPr>
          <w:rFonts w:ascii="Arial" w:cs="Arial" w:eastAsia="Arial" w:hAnsi="Arial"/>
          <w:sz w:val="16"/>
          <w:szCs w:val="16"/>
          <w:color w:val="auto"/>
        </w:rPr>
        <w:t>NAVER WEBTOON entered into a business delegation agreement with Mr. Kim effective January 1, 2025 and ending December 31, 2025 (the “Kim 2025 Business Delegation Agreement”), pursuant to which Mr. Kim may resign at any time, subject to providing written notice of at least one calendar month. Under the Kim 2025 Business Delegation Agreement, Mr. Kim (a) was eligible to receive an annual base salary of 150,000,000 Korean Won for fiscal year 2025 from NAVER WEBTOON and (b) is subject to non-compete and non-interference restrictions during the term and for one year after termination. The Kim 2025 Business Delegation Agreement is substantially similar to the business delegation agreement previously entered into between NAVER WEBTOON and Mr. Kim effective January 1, 2024, which expired on December 31, 2024.</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Employment Agreement with David J. Lee</w:t>
      </w:r>
    </w:p>
    <w:p>
      <w:pPr>
        <w:spacing w:after="0" w:line="192"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On October 14, 2023, we entered into an executive employment agreement with Mr. Lee, pursuant to which Mr. Lee serves as our Chief Operating Officer and Chief Financial Officer. The term of Mr. Lee’s employment agreement commenced January 1, 2024 and will continue indefinitely until terminated by either Mr. Lee or the Company, which termination may be effected any time for any reason or no reason, provided that Mr. Lee must provide 60 days’ written notice prior to his resignation without “good reason” (as defined in the employment agreement). Under the employment agreement, Mr. Lee (a) is eligible to receive an annual base salary of $500,000, (b) is guaranteed an annual bonus payment equal to at least 50% of his base salary, with eligibility to receive up to 100% of his annual base salary based on achievement of performance criteria, (c) received a $600,000 lump sum cash sign-on bonus that was subject to clawback if Mr. Lee’s employment terminated prior to January 1, 2026 for any reason other than by the Company without “cause” (as defined in the employment agreement) or Mr. Lee’s resignation with “good reason,” (d) received a grant of stock options, which represented 0.5% of the Company’s fully-diluted capital stock on the date of grant and a grant of restricted stock units, which represented 0.06% of the Company’s fully-diluted capital stock on the date of grant, (e) is reimbursed for all reasonable and necessary commuting expenses for airfare, hotel, and ground transportation between the San Francisco Bay Area and Los Angeles for five days per week from January 1, 2024 to December 31, 2026 (or if earlier, the date of his termination of employment), with the aggregate amount reimbursed not to exceed $50,000 for each six-month period between January 1, 2024 to December 31, 2026, and</w:t>
      </w:r>
    </w:p>
    <w:p>
      <w:pPr>
        <w:spacing w:after="0" w:line="4" w:lineRule="exact"/>
        <w:rPr>
          <w:sz w:val="20"/>
          <w:szCs w:val="20"/>
          <w:color w:val="auto"/>
        </w:rPr>
      </w:pPr>
    </w:p>
    <w:p>
      <w:pPr>
        <w:jc w:val="both"/>
        <w:ind w:right="120" w:firstLine="8"/>
        <w:spacing w:after="0" w:line="306" w:lineRule="auto"/>
        <w:tabs>
          <w:tab w:leader="none" w:pos="198" w:val="left"/>
        </w:tabs>
        <w:numPr>
          <w:ilvl w:val="0"/>
          <w:numId w:val="25"/>
        </w:numPr>
        <w:rPr>
          <w:rFonts w:ascii="Arial" w:cs="Arial" w:eastAsia="Arial" w:hAnsi="Arial"/>
          <w:sz w:val="16"/>
          <w:szCs w:val="16"/>
          <w:color w:val="auto"/>
        </w:rPr>
      </w:pPr>
      <w:r>
        <w:rPr>
          <w:rFonts w:ascii="Arial" w:cs="Arial" w:eastAsia="Arial" w:hAnsi="Arial"/>
          <w:sz w:val="16"/>
          <w:szCs w:val="16"/>
          <w:color w:val="auto"/>
        </w:rPr>
        <w:t>is subject to restrictive covenants including (i) non-competition and non-solicitation of customers during employment, (ii) non-solicitation of employees during employment and for 12 months following the termination of Mr. Lee’s employment, and (iii) perpetual confidentiality, assignment of inventions, and non-disparagement. In addition, Mr. Lee’s executive employment agreement provides for certain severance benefits if we terminate Mr. Lee without “cause” or Mr. Lee resigns with “good reason.” See “—Potential Payments Upon Termination or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304800</wp:posOffset>
            </wp:positionV>
            <wp:extent cx="282575" cy="2743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82575"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280" w:type="dxa"/>
            <w:vAlign w:val="bottom"/>
          </w:tcPr>
          <w:p>
            <w:pPr>
              <w:ind w:left="20"/>
              <w:spacing w:after="0"/>
              <w:rPr>
                <w:sz w:val="20"/>
                <w:szCs w:val="20"/>
                <w:color w:val="auto"/>
              </w:rPr>
            </w:pPr>
            <w:r>
              <w:rPr>
                <w:rFonts w:ascii="Arial" w:cs="Arial" w:eastAsia="Arial" w:hAnsi="Arial"/>
                <w:sz w:val="14"/>
                <w:szCs w:val="14"/>
                <w:b w:val="1"/>
                <w:bCs w:val="1"/>
                <w:color w:val="auto"/>
              </w:rPr>
              <w:t>2026 Proxy Statement</w:t>
            </w:r>
          </w:p>
        </w:tc>
        <w:tc>
          <w:tcPr>
            <w:tcW w:w="4960" w:type="dxa"/>
            <w:vAlign w:val="bottom"/>
          </w:tcPr>
          <w:p>
            <w:pPr>
              <w:jc w:val="right"/>
              <w:spacing w:after="0"/>
              <w:rPr>
                <w:sz w:val="20"/>
                <w:szCs w:val="20"/>
                <w:color w:val="auto"/>
              </w:rPr>
            </w:pPr>
            <w:r>
              <w:rPr>
                <w:rFonts w:ascii="Arial" w:cs="Arial" w:eastAsia="Arial" w:hAnsi="Arial"/>
                <w:sz w:val="14"/>
                <w:szCs w:val="14"/>
                <w:b w:val="1"/>
                <w:bCs w:val="1"/>
                <w:color w:val="auto"/>
              </w:rPr>
              <w:t>35</w:t>
            </w:r>
          </w:p>
        </w:tc>
      </w:tr>
      <w:tr>
        <w:trPr>
          <w:trHeight w:val="373"/>
        </w:trPr>
        <w:tc>
          <w:tcPr>
            <w:tcW w:w="6280" w:type="dxa"/>
            <w:vAlign w:val="bottom"/>
            <w:tcBorders>
              <w:bottom w:val="single" w:sz="8" w:color="9A9A9A"/>
            </w:tcBorders>
          </w:tcPr>
          <w:p>
            <w:pPr>
              <w:spacing w:after="0"/>
              <w:rPr>
                <w:sz w:val="24"/>
                <w:szCs w:val="24"/>
                <w:color w:val="auto"/>
              </w:rPr>
            </w:pPr>
          </w:p>
        </w:tc>
        <w:tc>
          <w:tcPr>
            <w:tcW w:w="4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Business Delegation Agreements with Chankyu Park, Yongsoo Kim and Hyeeun Son</w:t>
      </w:r>
    </w:p>
    <w:p>
      <w:pPr>
        <w:spacing w:after="0" w:line="206" w:lineRule="exact"/>
        <w:rPr>
          <w:sz w:val="20"/>
          <w:szCs w:val="20"/>
          <w:color w:val="auto"/>
        </w:rPr>
      </w:pPr>
    </w:p>
    <w:p>
      <w:pPr>
        <w:ind w:right="160"/>
        <w:spacing w:after="0" w:line="299" w:lineRule="auto"/>
        <w:rPr>
          <w:sz w:val="20"/>
          <w:szCs w:val="20"/>
          <w:color w:val="auto"/>
        </w:rPr>
      </w:pPr>
      <w:r>
        <w:rPr>
          <w:rFonts w:ascii="Arial" w:cs="Arial" w:eastAsia="Arial" w:hAnsi="Arial"/>
          <w:sz w:val="16"/>
          <w:szCs w:val="16"/>
          <w:color w:val="auto"/>
        </w:rPr>
        <w:t>NAVER WEBTOON is party to business delegation agreements effective January 1, 2025 with each of Chankyu Park, Yongsoo Kim and Hyeeun Son for a term of one year that expired on December 31, 2025, pursuant to which the executive may resign at any time, subject to providing written notice of at least one calendar month. Under the business delegation agreements, during the term, Chankyu Park, Yongsoo Kim and Hyeeun Son (a) are entitled an annual base salary of 320,000,000 Korean Won, 300,000,000 Korean Won, and 216,300,000 Korean Won, respectively, (b) are eligible to receive an annual incentive bonus in respect of fiscal year 2025, with the target being equal to 192,000,000 Korean Won, 180,000,000 Korean Won and 123,700,000 Korean Won, respectively, and (c) are subject to non-compete and non-interference restrictions during the term and for one year after termination. The 2025 business delegation agreements are substantially similar to the business delegation agreements previously entered into between NAVER WEBTOON and each of the executives effective January 1, 2024, which expired on December 31, 2024, except that the base salary and annual bonus target amounts for Yongsoo Kim and Hyeeun Son were adjusted for 2025 (See “–Elements of Compensation – Base Salary” and “–Elements of Compensation – Annual Cash Bonus”).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Long-Term Incentive Compensation</w:t>
      </w:r>
    </w:p>
    <w:p>
      <w:pPr>
        <w:spacing w:after="0" w:line="140" w:lineRule="exact"/>
        <w:rPr>
          <w:sz w:val="20"/>
          <w:szCs w:val="20"/>
          <w:color w:val="auto"/>
        </w:rPr>
      </w:pPr>
    </w:p>
    <w:p>
      <w:pPr>
        <w:ind w:right="520"/>
        <w:spacing w:after="0" w:line="339" w:lineRule="auto"/>
        <w:rPr>
          <w:sz w:val="20"/>
          <w:szCs w:val="20"/>
          <w:color w:val="auto"/>
        </w:rPr>
      </w:pPr>
      <w:r>
        <w:rPr>
          <w:rFonts w:ascii="Arial" w:cs="Arial" w:eastAsia="Arial" w:hAnsi="Arial"/>
          <w:sz w:val="16"/>
          <w:szCs w:val="16"/>
          <w:color w:val="auto"/>
        </w:rPr>
        <w:t>The Named Executive Officers have been granted long-term incentives in the form of restricted stock units (“RSUs”). See “—Long-Term Equity-Based Compensation” for additional details about these awards.</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Retirement Benefits</w:t>
      </w:r>
    </w:p>
    <w:p>
      <w:pPr>
        <w:spacing w:after="0" w:line="154" w:lineRule="exact"/>
        <w:rPr>
          <w:sz w:val="20"/>
          <w:szCs w:val="20"/>
          <w:color w:val="auto"/>
        </w:rPr>
      </w:pPr>
    </w:p>
    <w:p>
      <w:pPr>
        <w:ind w:right="120"/>
        <w:spacing w:after="0" w:line="304" w:lineRule="auto"/>
        <w:rPr>
          <w:sz w:val="20"/>
          <w:szCs w:val="20"/>
          <w:color w:val="auto"/>
        </w:rPr>
      </w:pPr>
      <w:r>
        <w:rPr>
          <w:rFonts w:ascii="Arial" w:cs="Arial" w:eastAsia="Arial" w:hAnsi="Arial"/>
          <w:sz w:val="16"/>
          <w:szCs w:val="16"/>
          <w:color w:val="auto"/>
        </w:rPr>
        <w:t>We have not maintained, and do not currently maintain, a defined benefit pension plan or nonqualified deferred compensation plan. We currently make available a retirement plan intended to provide benefits under Section 401(k) of the Code, pursuant to which employees, including Junkoo Kim and David J. Lee (but not the other NEOs), can make voluntary pre-tax contributions. We match 100% of elective deferrals up to 7% of compensation. These matching contributions are immediately vested. All contributions under the plan are subject to certain annual dollar limitations, which are periodically adjusted for changes in the cost of living.</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Severance Arrangements</w:t>
      </w:r>
    </w:p>
    <w:p>
      <w:pPr>
        <w:spacing w:after="0" w:line="140" w:lineRule="exact"/>
        <w:rPr>
          <w:sz w:val="20"/>
          <w:szCs w:val="20"/>
          <w:color w:val="auto"/>
        </w:rPr>
      </w:pPr>
    </w:p>
    <w:p>
      <w:pPr>
        <w:ind w:right="440"/>
        <w:spacing w:after="0" w:line="339" w:lineRule="auto"/>
        <w:rPr>
          <w:sz w:val="20"/>
          <w:szCs w:val="20"/>
          <w:color w:val="auto"/>
        </w:rPr>
      </w:pPr>
      <w:r>
        <w:rPr>
          <w:rFonts w:ascii="Arial" w:cs="Arial" w:eastAsia="Arial" w:hAnsi="Arial"/>
          <w:sz w:val="16"/>
          <w:szCs w:val="16"/>
          <w:color w:val="auto"/>
        </w:rPr>
        <w:t>Our Named Executive Officers (other than David J. Lee) participate in the NAVER WEBTOON Severance Pay Policy for Executives, which provides for severance pay upon termination of employment as described further below (see “—Potential Payments Upon Termination or Change in Control”).</w:t>
      </w:r>
    </w:p>
    <w:p>
      <w:pPr>
        <w:spacing w:after="0" w:line="101" w:lineRule="exact"/>
        <w:rPr>
          <w:sz w:val="20"/>
          <w:szCs w:val="20"/>
          <w:color w:val="auto"/>
        </w:rPr>
      </w:pPr>
    </w:p>
    <w:p>
      <w:pPr>
        <w:jc w:val="both"/>
        <w:ind w:right="60"/>
        <w:spacing w:after="0" w:line="310" w:lineRule="auto"/>
        <w:rPr>
          <w:sz w:val="20"/>
          <w:szCs w:val="20"/>
          <w:color w:val="auto"/>
        </w:rPr>
      </w:pPr>
      <w:r>
        <w:rPr>
          <w:rFonts w:ascii="Arial" w:cs="Arial" w:eastAsia="Arial" w:hAnsi="Arial"/>
          <w:sz w:val="16"/>
          <w:szCs w:val="16"/>
          <w:color w:val="auto"/>
        </w:rPr>
        <w:t>The Kim Employment Agreement provides Junkoo Kim certain severance benefits if we terminate Mr. Kim pursuant to certain scenarios, including enhanced benefits if any such termination occurs in connection with a “change in control,” as described further below (see “—Potential Payments Upon Termination or Change in Control”).</w:t>
      </w:r>
    </w:p>
    <w:p>
      <w:pPr>
        <w:spacing w:after="0" w:line="124" w:lineRule="exact"/>
        <w:rPr>
          <w:sz w:val="20"/>
          <w:szCs w:val="20"/>
          <w:color w:val="auto"/>
        </w:rPr>
      </w:pPr>
    </w:p>
    <w:p>
      <w:pPr>
        <w:ind w:right="440"/>
        <w:spacing w:after="0" w:line="339" w:lineRule="auto"/>
        <w:rPr>
          <w:sz w:val="20"/>
          <w:szCs w:val="20"/>
          <w:color w:val="auto"/>
        </w:rPr>
      </w:pPr>
      <w:r>
        <w:rPr>
          <w:rFonts w:ascii="Arial" w:cs="Arial" w:eastAsia="Arial" w:hAnsi="Arial"/>
          <w:sz w:val="16"/>
          <w:szCs w:val="16"/>
          <w:color w:val="auto"/>
        </w:rPr>
        <w:t>The executive employment agreement for David J. Lee provides for certain severance benefits if we terminate Mr. Lee pursuant to certain scenarios as described further below (see “—Potential Payments Upon Termination or Change in Control”).</w:t>
      </w:r>
    </w:p>
    <w:p>
      <w:pPr>
        <w:spacing w:after="0" w:line="200" w:lineRule="exact"/>
        <w:rPr>
          <w:sz w:val="20"/>
          <w:szCs w:val="20"/>
          <w:color w:val="auto"/>
        </w:rPr>
      </w:pPr>
    </w:p>
    <w:p>
      <w:pPr>
        <w:spacing w:after="0" w:line="223" w:lineRule="exact"/>
        <w:rPr>
          <w:sz w:val="20"/>
          <w:szCs w:val="20"/>
          <w:color w:val="auto"/>
        </w:rPr>
      </w:pPr>
    </w:p>
    <w:p>
      <w:pPr>
        <w:ind w:left="20"/>
        <w:spacing w:after="0"/>
        <w:tabs>
          <w:tab w:leader="none" w:pos="5360" w:val="left"/>
        </w:tabs>
        <w:rPr>
          <w:sz w:val="20"/>
          <w:szCs w:val="20"/>
          <w:color w:val="auto"/>
        </w:rPr>
      </w:pPr>
      <w:r>
        <w:rPr>
          <w:rFonts w:ascii="Arial" w:cs="Arial" w:eastAsia="Arial" w:hAnsi="Arial"/>
          <w:sz w:val="14"/>
          <w:szCs w:val="14"/>
          <w:b w:val="1"/>
          <w:bCs w:val="1"/>
          <w:color w:val="auto"/>
        </w:rPr>
        <w:t>36</w:t>
      </w:r>
      <w:r>
        <w:rPr>
          <w:sz w:val="20"/>
          <w:szCs w:val="20"/>
          <w:color w:val="auto"/>
        </w:rPr>
        <w:tab/>
      </w:r>
      <w:r>
        <w:rPr>
          <w:sz w:val="1"/>
          <w:szCs w:val="1"/>
          <w:color w:val="auto"/>
        </w:rPr>
        <w:drawing>
          <wp:inline distT="0" distB="0" distL="0" distR="0">
            <wp:extent cx="282575" cy="274320"/>
            <wp:effectExtent l="0" t="0" r="0" b="0"/>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82575" cy="274320"/>
                    </a:xfrm>
                    <a:prstGeom prst="rect">
                      <a:avLst/>
                    </a:prstGeom>
                    <a:noFill/>
                    <a:ln>
                      <a:noFill/>
                    </a:ln>
                  </pic:spPr>
                </pic:pic>
              </a:graphicData>
            </a:graphic>
          </wp:inline>
        </w:drawing>
      </w:r>
      <w:r>
        <w:rPr>
          <w:rFonts w:ascii="Arial" w:cs="Arial" w:eastAsia="Arial" w:hAnsi="Arial"/>
          <w:sz w:val="14"/>
          <w:szCs w:val="14"/>
          <w:b w:val="1"/>
          <w:bCs w:val="1"/>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0" w:name="page41"/>
    <w:bookmarkEnd w:id="40"/>
    <w:p>
      <w:pPr>
        <w:ind w:left="10120"/>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20"/>
          <w:szCs w:val="20"/>
          <w:b w:val="1"/>
          <w:bCs w:val="1"/>
          <w:color w:val="00DC64"/>
        </w:rPr>
        <w:t>OUTSTANDING EQUITY AWARDS AT 2025 FISCAL YEAR-END</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certain information with respect to outstanding equity awards held by our NEOs as of December 31, 2025.</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7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337"/>
              <w:spacing w:after="0"/>
              <w:rPr>
                <w:sz w:val="20"/>
                <w:szCs w:val="20"/>
                <w:color w:val="auto"/>
              </w:rPr>
            </w:pPr>
            <w:r>
              <w:rPr>
                <w:rFonts w:ascii="Arial" w:cs="Arial" w:eastAsia="Arial" w:hAnsi="Arial"/>
                <w:sz w:val="13"/>
                <w:szCs w:val="13"/>
                <w:b w:val="1"/>
                <w:bCs w:val="1"/>
                <w:color w:val="auto"/>
                <w:w w:val="92"/>
              </w:rPr>
              <w:t>Option Awards</w:t>
            </w:r>
            <w:r>
              <w:rPr>
                <w:rFonts w:ascii="Arial" w:cs="Arial" w:eastAsia="Arial" w:hAnsi="Arial"/>
                <w:sz w:val="16"/>
                <w:szCs w:val="16"/>
                <w:b w:val="1"/>
                <w:bCs w:val="1"/>
                <w:color w:val="auto"/>
                <w:w w:val="92"/>
                <w:vertAlign w:val="superscript"/>
              </w:rPr>
              <w:t>(1)</w:t>
            </w:r>
          </w:p>
        </w:tc>
        <w:tc>
          <w:tcPr>
            <w:tcW w:w="1000" w:type="dxa"/>
            <w:vAlign w:val="bottom"/>
            <w:tcBorders>
              <w:bottom w:val="single" w:sz="8" w:color="auto"/>
            </w:tcBorders>
          </w:tcPr>
          <w:p>
            <w:pPr>
              <w:spacing w:after="0"/>
              <w:rPr>
                <w:sz w:val="17"/>
                <w:szCs w:val="17"/>
                <w:color w:val="auto"/>
              </w:rPr>
            </w:pPr>
          </w:p>
        </w:tc>
        <w:tc>
          <w:tcPr>
            <w:tcW w:w="1100" w:type="dxa"/>
            <w:vAlign w:val="bottom"/>
            <w:tcBorders>
              <w:bottom w:val="single" w:sz="8" w:color="auto"/>
              <w:right w:val="single" w:sz="8" w:color="auto"/>
            </w:tcBorders>
          </w:tcPr>
          <w:p>
            <w:pPr>
              <w:spacing w:after="0"/>
              <w:rPr>
                <w:sz w:val="17"/>
                <w:szCs w:val="17"/>
                <w:color w:val="auto"/>
              </w:rPr>
            </w:pPr>
          </w:p>
        </w:tc>
        <w:tc>
          <w:tcPr>
            <w:tcW w:w="2460" w:type="dxa"/>
            <w:vAlign w:val="bottom"/>
            <w:tcBorders>
              <w:bottom w:val="single" w:sz="8" w:color="auto"/>
            </w:tcBorders>
            <w:gridSpan w:val="2"/>
          </w:tcPr>
          <w:p>
            <w:pPr>
              <w:jc w:val="right"/>
              <w:ind w:right="697"/>
              <w:spacing w:after="0"/>
              <w:rPr>
                <w:sz w:val="20"/>
                <w:szCs w:val="20"/>
                <w:color w:val="auto"/>
              </w:rPr>
            </w:pPr>
            <w:r>
              <w:rPr>
                <w:rFonts w:ascii="Arial" w:cs="Arial" w:eastAsia="Arial" w:hAnsi="Arial"/>
                <w:sz w:val="13"/>
                <w:szCs w:val="13"/>
                <w:b w:val="1"/>
                <w:bCs w:val="1"/>
                <w:color w:val="auto"/>
              </w:rPr>
              <w:t>Stock Awards</w:t>
            </w:r>
            <w:r>
              <w:rPr>
                <w:rFonts w:ascii="Arial" w:cs="Arial" w:eastAsia="Arial" w:hAnsi="Arial"/>
                <w:sz w:val="16"/>
                <w:szCs w:val="16"/>
                <w:b w:val="1"/>
                <w:bCs w:val="1"/>
                <w:color w:val="auto"/>
                <w:vertAlign w:val="superscript"/>
              </w:rPr>
              <w:t>(1)</w:t>
            </w:r>
          </w:p>
        </w:tc>
        <w:tc>
          <w:tcPr>
            <w:tcW w:w="0" w:type="dxa"/>
            <w:vAlign w:val="bottom"/>
          </w:tcPr>
          <w:p>
            <w:pPr>
              <w:spacing w:after="0"/>
              <w:rPr>
                <w:sz w:val="1"/>
                <w:szCs w:val="1"/>
                <w:color w:val="auto"/>
              </w:rPr>
            </w:pPr>
          </w:p>
        </w:tc>
      </w:tr>
      <w:tr>
        <w:trPr>
          <w:trHeight w:val="165"/>
        </w:trPr>
        <w:tc>
          <w:tcPr>
            <w:tcW w:w="17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b w:val="1"/>
                <w:bCs w:val="1"/>
                <w:color w:val="auto"/>
              </w:rPr>
              <w:t>Number of</w:t>
            </w:r>
          </w:p>
        </w:tc>
        <w:tc>
          <w:tcPr>
            <w:tcW w:w="1240" w:type="dxa"/>
            <w:vAlign w:val="bottom"/>
          </w:tcPr>
          <w:p>
            <w:pPr>
              <w:jc w:val="right"/>
              <w:spacing w:after="0"/>
              <w:rPr>
                <w:sz w:val="20"/>
                <w:szCs w:val="20"/>
                <w:color w:val="auto"/>
              </w:rPr>
            </w:pPr>
            <w:r>
              <w:rPr>
                <w:rFonts w:ascii="Arial" w:cs="Arial" w:eastAsia="Arial" w:hAnsi="Arial"/>
                <w:sz w:val="13"/>
                <w:szCs w:val="13"/>
                <w:b w:val="1"/>
                <w:bCs w:val="1"/>
                <w:color w:val="auto"/>
              </w:rPr>
              <w:t>Number of</w:t>
            </w:r>
          </w:p>
        </w:tc>
        <w:tc>
          <w:tcPr>
            <w:tcW w:w="14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Equity Incentive Plan</w:t>
            </w:r>
          </w:p>
        </w:tc>
        <w:tc>
          <w:tcPr>
            <w:tcW w:w="1000" w:type="dxa"/>
            <w:vAlign w:val="bottom"/>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1180" w:type="dxa"/>
            <w:vAlign w:val="bottom"/>
            <w:vMerge w:val="restart"/>
          </w:tcPr>
          <w:p>
            <w:pPr>
              <w:jc w:val="right"/>
              <w:ind w:right="17"/>
              <w:spacing w:after="0"/>
              <w:rPr>
                <w:sz w:val="20"/>
                <w:szCs w:val="20"/>
                <w:color w:val="auto"/>
              </w:rPr>
            </w:pPr>
            <w:r>
              <w:rPr>
                <w:rFonts w:ascii="Arial" w:cs="Arial" w:eastAsia="Arial" w:hAnsi="Arial"/>
                <w:sz w:val="13"/>
                <w:szCs w:val="13"/>
                <w:b w:val="1"/>
                <w:bCs w:val="1"/>
                <w:color w:val="auto"/>
              </w:rPr>
              <w:t>Number</w:t>
            </w: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3"/>
                <w:szCs w:val="13"/>
                <w:b w:val="1"/>
                <w:bCs w:val="1"/>
                <w:color w:val="auto"/>
              </w:rPr>
              <w:t>Securities</w:t>
            </w:r>
          </w:p>
        </w:tc>
        <w:tc>
          <w:tcPr>
            <w:tcW w:w="1240" w:type="dxa"/>
            <w:vAlign w:val="bottom"/>
          </w:tcPr>
          <w:p>
            <w:pPr>
              <w:jc w:val="right"/>
              <w:spacing w:after="0"/>
              <w:rPr>
                <w:sz w:val="20"/>
                <w:szCs w:val="20"/>
                <w:color w:val="auto"/>
              </w:rPr>
            </w:pPr>
            <w:r>
              <w:rPr>
                <w:rFonts w:ascii="Arial" w:cs="Arial" w:eastAsia="Arial" w:hAnsi="Arial"/>
                <w:sz w:val="13"/>
                <w:szCs w:val="13"/>
                <w:b w:val="1"/>
                <w:bCs w:val="1"/>
                <w:color w:val="auto"/>
              </w:rPr>
              <w:t>Securities</w:t>
            </w:r>
          </w:p>
        </w:tc>
        <w:tc>
          <w:tcPr>
            <w:tcW w:w="1400" w:type="dxa"/>
            <w:vAlign w:val="bottom"/>
            <w:vMerge w:val="continue"/>
          </w:tcPr>
          <w:p>
            <w:pPr>
              <w:spacing w:after="0"/>
              <w:rPr>
                <w:sz w:val="12"/>
                <w:szCs w:val="12"/>
                <w:color w:val="auto"/>
              </w:rPr>
            </w:pPr>
          </w:p>
        </w:tc>
        <w:tc>
          <w:tcPr>
            <w:tcW w:w="1000" w:type="dxa"/>
            <w:vAlign w:val="bottom"/>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1180" w:type="dxa"/>
            <w:vAlign w:val="bottom"/>
            <w:vMerge w:val="continue"/>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3"/>
                <w:szCs w:val="13"/>
                <w:b w:val="1"/>
                <w:bCs w:val="1"/>
                <w:color w:val="auto"/>
              </w:rPr>
              <w:t>Underlying</w:t>
            </w:r>
          </w:p>
        </w:tc>
        <w:tc>
          <w:tcPr>
            <w:tcW w:w="1240" w:type="dxa"/>
            <w:vAlign w:val="bottom"/>
          </w:tcPr>
          <w:p>
            <w:pPr>
              <w:jc w:val="right"/>
              <w:spacing w:after="0"/>
              <w:rPr>
                <w:sz w:val="20"/>
                <w:szCs w:val="20"/>
                <w:color w:val="auto"/>
              </w:rPr>
            </w:pPr>
            <w:r>
              <w:rPr>
                <w:rFonts w:ascii="Arial" w:cs="Arial" w:eastAsia="Arial" w:hAnsi="Arial"/>
                <w:sz w:val="13"/>
                <w:szCs w:val="13"/>
                <w:b w:val="1"/>
                <w:bCs w:val="1"/>
                <w:color w:val="auto"/>
              </w:rPr>
              <w:t>Underlying</w:t>
            </w:r>
          </w:p>
        </w:tc>
        <w:tc>
          <w:tcPr>
            <w:tcW w:w="1400" w:type="dxa"/>
            <w:vAlign w:val="bottom"/>
          </w:tcPr>
          <w:p>
            <w:pPr>
              <w:jc w:val="right"/>
              <w:spacing w:after="0"/>
              <w:rPr>
                <w:sz w:val="20"/>
                <w:szCs w:val="20"/>
                <w:color w:val="auto"/>
              </w:rPr>
            </w:pPr>
            <w:r>
              <w:rPr>
                <w:rFonts w:ascii="Arial" w:cs="Arial" w:eastAsia="Arial" w:hAnsi="Arial"/>
                <w:sz w:val="13"/>
                <w:szCs w:val="13"/>
                <w:b w:val="1"/>
                <w:bCs w:val="1"/>
                <w:color w:val="auto"/>
              </w:rPr>
              <w:t>Awards: Number of</w:t>
            </w:r>
          </w:p>
        </w:tc>
        <w:tc>
          <w:tcPr>
            <w:tcW w:w="10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Option</w:t>
            </w:r>
          </w:p>
        </w:tc>
        <w:tc>
          <w:tcPr>
            <w:tcW w:w="1100" w:type="dxa"/>
            <w:vAlign w:val="bottom"/>
            <w:tcBorders>
              <w:right w:val="single" w:sz="8" w:color="auto"/>
            </w:tcBorders>
          </w:tcPr>
          <w:p>
            <w:pPr>
              <w:spacing w:after="0"/>
              <w:rPr>
                <w:sz w:val="12"/>
                <w:szCs w:val="12"/>
                <w:color w:val="auto"/>
              </w:rPr>
            </w:pPr>
          </w:p>
        </w:tc>
        <w:tc>
          <w:tcPr>
            <w:tcW w:w="1180" w:type="dxa"/>
            <w:vAlign w:val="bottom"/>
          </w:tcPr>
          <w:p>
            <w:pPr>
              <w:jc w:val="right"/>
              <w:ind w:right="17"/>
              <w:spacing w:after="0"/>
              <w:rPr>
                <w:sz w:val="20"/>
                <w:szCs w:val="20"/>
                <w:color w:val="auto"/>
              </w:rPr>
            </w:pPr>
            <w:r>
              <w:rPr>
                <w:rFonts w:ascii="Arial" w:cs="Arial" w:eastAsia="Arial" w:hAnsi="Arial"/>
                <w:sz w:val="13"/>
                <w:szCs w:val="13"/>
                <w:b w:val="1"/>
                <w:bCs w:val="1"/>
                <w:color w:val="auto"/>
              </w:rPr>
              <w:t>of Shares or</w:t>
            </w:r>
          </w:p>
        </w:tc>
        <w:tc>
          <w:tcPr>
            <w:tcW w:w="1280" w:type="dxa"/>
            <w:vAlign w:val="bottom"/>
            <w:vMerge w:val="restart"/>
          </w:tcPr>
          <w:p>
            <w:pPr>
              <w:jc w:val="right"/>
              <w:ind w:right="97"/>
              <w:spacing w:after="0"/>
              <w:rPr>
                <w:sz w:val="20"/>
                <w:szCs w:val="20"/>
                <w:color w:val="auto"/>
              </w:rPr>
            </w:pPr>
            <w:r>
              <w:rPr>
                <w:rFonts w:ascii="Arial" w:cs="Arial" w:eastAsia="Arial" w:hAnsi="Arial"/>
                <w:sz w:val="13"/>
                <w:szCs w:val="13"/>
                <w:b w:val="1"/>
                <w:bCs w:val="1"/>
                <w:color w:val="auto"/>
              </w:rPr>
              <w:t>Market Value of</w:t>
            </w:r>
          </w:p>
        </w:tc>
        <w:tc>
          <w:tcPr>
            <w:tcW w:w="0" w:type="dxa"/>
            <w:vAlign w:val="bottom"/>
          </w:tcPr>
          <w:p>
            <w:pPr>
              <w:spacing w:after="0"/>
              <w:rPr>
                <w:sz w:val="1"/>
                <w:szCs w:val="1"/>
                <w:color w:val="auto"/>
              </w:rPr>
            </w:pPr>
          </w:p>
        </w:tc>
      </w:tr>
      <w:tr>
        <w:trPr>
          <w:trHeight w:val="148"/>
        </w:trPr>
        <w:tc>
          <w:tcPr>
            <w:tcW w:w="17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3"/>
                <w:szCs w:val="13"/>
                <w:b w:val="1"/>
                <w:bCs w:val="1"/>
                <w:color w:val="auto"/>
              </w:rPr>
              <w:t>Unexercised</w:t>
            </w:r>
          </w:p>
        </w:tc>
        <w:tc>
          <w:tcPr>
            <w:tcW w:w="1240" w:type="dxa"/>
            <w:vAlign w:val="bottom"/>
          </w:tcPr>
          <w:p>
            <w:pPr>
              <w:jc w:val="right"/>
              <w:spacing w:after="0"/>
              <w:rPr>
                <w:sz w:val="20"/>
                <w:szCs w:val="20"/>
                <w:color w:val="auto"/>
              </w:rPr>
            </w:pPr>
            <w:r>
              <w:rPr>
                <w:rFonts w:ascii="Arial" w:cs="Arial" w:eastAsia="Arial" w:hAnsi="Arial"/>
                <w:sz w:val="13"/>
                <w:szCs w:val="13"/>
                <w:b w:val="1"/>
                <w:bCs w:val="1"/>
                <w:color w:val="auto"/>
              </w:rPr>
              <w:t>Unexercised</w:t>
            </w:r>
          </w:p>
        </w:tc>
        <w:tc>
          <w:tcPr>
            <w:tcW w:w="1400" w:type="dxa"/>
            <w:vAlign w:val="bottom"/>
          </w:tcPr>
          <w:p>
            <w:pPr>
              <w:jc w:val="right"/>
              <w:spacing w:after="0"/>
              <w:rPr>
                <w:sz w:val="20"/>
                <w:szCs w:val="20"/>
                <w:color w:val="auto"/>
              </w:rPr>
            </w:pPr>
            <w:r>
              <w:rPr>
                <w:rFonts w:ascii="Arial" w:cs="Arial" w:eastAsia="Arial" w:hAnsi="Arial"/>
                <w:sz w:val="13"/>
                <w:szCs w:val="13"/>
                <w:b w:val="1"/>
                <w:bCs w:val="1"/>
                <w:color w:val="auto"/>
              </w:rPr>
              <w:t>Securities Underlying</w:t>
            </w:r>
          </w:p>
        </w:tc>
        <w:tc>
          <w:tcPr>
            <w:tcW w:w="1000" w:type="dxa"/>
            <w:vAlign w:val="bottom"/>
            <w:vMerge w:val="continue"/>
          </w:tcPr>
          <w:p>
            <w:pPr>
              <w:spacing w:after="0"/>
              <w:rPr>
                <w:sz w:val="12"/>
                <w:szCs w:val="12"/>
                <w:color w:val="auto"/>
              </w:rPr>
            </w:pPr>
          </w:p>
        </w:tc>
        <w:tc>
          <w:tcPr>
            <w:tcW w:w="1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rPr>
              <w:t>Option</w:t>
            </w:r>
          </w:p>
        </w:tc>
        <w:tc>
          <w:tcPr>
            <w:tcW w:w="1180" w:type="dxa"/>
            <w:vAlign w:val="bottom"/>
          </w:tcPr>
          <w:p>
            <w:pPr>
              <w:jc w:val="right"/>
              <w:ind w:right="17"/>
              <w:spacing w:after="0"/>
              <w:rPr>
                <w:sz w:val="20"/>
                <w:szCs w:val="20"/>
                <w:color w:val="auto"/>
              </w:rPr>
            </w:pPr>
            <w:r>
              <w:rPr>
                <w:rFonts w:ascii="Arial" w:cs="Arial" w:eastAsia="Arial" w:hAnsi="Arial"/>
                <w:sz w:val="13"/>
                <w:szCs w:val="13"/>
                <w:b w:val="1"/>
                <w:bCs w:val="1"/>
                <w:color w:val="auto"/>
              </w:rPr>
              <w:t>Units of Stock</w:t>
            </w: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3"/>
                <w:szCs w:val="13"/>
                <w:b w:val="1"/>
                <w:bCs w:val="1"/>
                <w:color w:val="auto"/>
              </w:rPr>
              <w:t>Options</w:t>
            </w:r>
          </w:p>
        </w:tc>
        <w:tc>
          <w:tcPr>
            <w:tcW w:w="1240" w:type="dxa"/>
            <w:vAlign w:val="bottom"/>
          </w:tcPr>
          <w:p>
            <w:pPr>
              <w:jc w:val="right"/>
              <w:spacing w:after="0"/>
              <w:rPr>
                <w:sz w:val="20"/>
                <w:szCs w:val="20"/>
                <w:color w:val="auto"/>
              </w:rPr>
            </w:pPr>
            <w:r>
              <w:rPr>
                <w:rFonts w:ascii="Arial" w:cs="Arial" w:eastAsia="Arial" w:hAnsi="Arial"/>
                <w:sz w:val="13"/>
                <w:szCs w:val="13"/>
                <w:b w:val="1"/>
                <w:bCs w:val="1"/>
                <w:color w:val="auto"/>
              </w:rPr>
              <w:t>Options</w:t>
            </w:r>
          </w:p>
        </w:tc>
        <w:tc>
          <w:tcPr>
            <w:tcW w:w="1400" w:type="dxa"/>
            <w:vAlign w:val="bottom"/>
          </w:tcPr>
          <w:p>
            <w:pPr>
              <w:jc w:val="right"/>
              <w:spacing w:after="0"/>
              <w:rPr>
                <w:sz w:val="20"/>
                <w:szCs w:val="20"/>
                <w:color w:val="auto"/>
              </w:rPr>
            </w:pPr>
            <w:r>
              <w:rPr>
                <w:rFonts w:ascii="Arial" w:cs="Arial" w:eastAsia="Arial" w:hAnsi="Arial"/>
                <w:sz w:val="13"/>
                <w:szCs w:val="13"/>
                <w:b w:val="1"/>
                <w:bCs w:val="1"/>
                <w:color w:val="auto"/>
              </w:rPr>
              <w:t>Unexercised</w:t>
            </w: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Exercise</w:t>
            </w:r>
          </w:p>
        </w:tc>
        <w:tc>
          <w:tcPr>
            <w:tcW w:w="1100" w:type="dxa"/>
            <w:vAlign w:val="bottom"/>
            <w:tcBorders>
              <w:right w:val="single" w:sz="8" w:color="auto"/>
            </w:tcBorders>
            <w:vMerge w:val="continue"/>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3"/>
                <w:szCs w:val="13"/>
                <w:b w:val="1"/>
                <w:bCs w:val="1"/>
                <w:color w:val="auto"/>
              </w:rPr>
              <w:t>That Have Not</w:t>
            </w:r>
          </w:p>
        </w:tc>
        <w:tc>
          <w:tcPr>
            <w:tcW w:w="1280" w:type="dxa"/>
            <w:vAlign w:val="bottom"/>
          </w:tcPr>
          <w:p>
            <w:pPr>
              <w:jc w:val="right"/>
              <w:ind w:right="97"/>
              <w:spacing w:after="0"/>
              <w:rPr>
                <w:sz w:val="20"/>
                <w:szCs w:val="20"/>
                <w:color w:val="auto"/>
              </w:rPr>
            </w:pPr>
            <w:r>
              <w:rPr>
                <w:rFonts w:ascii="Arial" w:cs="Arial" w:eastAsia="Arial" w:hAnsi="Arial"/>
                <w:sz w:val="13"/>
                <w:szCs w:val="13"/>
                <w:b w:val="1"/>
                <w:bCs w:val="1"/>
                <w:color w:val="auto"/>
                <w:w w:val="98"/>
              </w:rPr>
              <w:t>Shares or Units of</w:t>
            </w:r>
          </w:p>
        </w:tc>
        <w:tc>
          <w:tcPr>
            <w:tcW w:w="0" w:type="dxa"/>
            <w:vAlign w:val="bottom"/>
          </w:tcPr>
          <w:p>
            <w:pPr>
              <w:spacing w:after="0"/>
              <w:rPr>
                <w:sz w:val="1"/>
                <w:szCs w:val="1"/>
                <w:color w:val="auto"/>
              </w:rPr>
            </w:pPr>
          </w:p>
        </w:tc>
      </w:tr>
      <w:tr>
        <w:trPr>
          <w:trHeight w:val="148"/>
        </w:trPr>
        <w:tc>
          <w:tcPr>
            <w:tcW w:w="17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400" w:type="dxa"/>
            <w:vAlign w:val="bottom"/>
          </w:tcPr>
          <w:p>
            <w:pPr>
              <w:jc w:val="right"/>
              <w:spacing w:after="0"/>
              <w:rPr>
                <w:sz w:val="20"/>
                <w:szCs w:val="20"/>
                <w:color w:val="auto"/>
              </w:rPr>
            </w:pPr>
            <w:r>
              <w:rPr>
                <w:rFonts w:ascii="Arial" w:cs="Arial" w:eastAsia="Arial" w:hAnsi="Arial"/>
                <w:sz w:val="13"/>
                <w:szCs w:val="13"/>
                <w:b w:val="1"/>
                <w:bCs w:val="1"/>
                <w:color w:val="auto"/>
              </w:rPr>
              <w:t>Unearned Options</w:t>
            </w: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Price</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Expiration</w:t>
            </w:r>
          </w:p>
        </w:tc>
        <w:tc>
          <w:tcPr>
            <w:tcW w:w="1180" w:type="dxa"/>
            <w:vAlign w:val="bottom"/>
          </w:tcPr>
          <w:p>
            <w:pPr>
              <w:jc w:val="right"/>
              <w:ind w:right="17"/>
              <w:spacing w:after="0"/>
              <w:rPr>
                <w:sz w:val="20"/>
                <w:szCs w:val="20"/>
                <w:color w:val="auto"/>
              </w:rPr>
            </w:pPr>
            <w:r>
              <w:rPr>
                <w:rFonts w:ascii="Arial" w:cs="Arial" w:eastAsia="Arial" w:hAnsi="Arial"/>
                <w:sz w:val="13"/>
                <w:szCs w:val="13"/>
                <w:b w:val="1"/>
                <w:bCs w:val="1"/>
                <w:color w:val="auto"/>
              </w:rPr>
              <w:t>Vested</w:t>
            </w:r>
          </w:p>
        </w:tc>
        <w:tc>
          <w:tcPr>
            <w:tcW w:w="1280" w:type="dxa"/>
            <w:vAlign w:val="bottom"/>
          </w:tcPr>
          <w:p>
            <w:pPr>
              <w:jc w:val="right"/>
              <w:ind w:right="97"/>
              <w:spacing w:after="0"/>
              <w:rPr>
                <w:sz w:val="20"/>
                <w:szCs w:val="20"/>
                <w:color w:val="auto"/>
              </w:rPr>
            </w:pPr>
            <w:r>
              <w:rPr>
                <w:rFonts w:ascii="Arial" w:cs="Arial" w:eastAsia="Arial" w:hAnsi="Arial"/>
                <w:sz w:val="13"/>
                <w:szCs w:val="13"/>
                <w:b w:val="1"/>
                <w:bCs w:val="1"/>
                <w:color w:val="auto"/>
              </w:rPr>
              <w:t>Stock that Have</w:t>
            </w:r>
          </w:p>
        </w:tc>
        <w:tc>
          <w:tcPr>
            <w:tcW w:w="0" w:type="dxa"/>
            <w:vAlign w:val="bottom"/>
          </w:tcPr>
          <w:p>
            <w:pPr>
              <w:spacing w:after="0"/>
              <w:rPr>
                <w:sz w:val="1"/>
                <w:szCs w:val="1"/>
                <w:color w:val="auto"/>
              </w:rPr>
            </w:pPr>
          </w:p>
        </w:tc>
      </w:tr>
      <w:tr>
        <w:trPr>
          <w:trHeight w:val="227"/>
        </w:trPr>
        <w:tc>
          <w:tcPr>
            <w:tcW w:w="1740" w:type="dxa"/>
            <w:vAlign w:val="bottom"/>
          </w:tcPr>
          <w:p>
            <w:pPr>
              <w:ind w:left="100"/>
              <w:spacing w:after="0"/>
              <w:rPr>
                <w:sz w:val="20"/>
                <w:szCs w:val="20"/>
                <w:color w:val="auto"/>
              </w:rPr>
            </w:pPr>
            <w:r>
              <w:rPr>
                <w:rFonts w:ascii="Arial" w:cs="Arial" w:eastAsia="Arial" w:hAnsi="Arial"/>
                <w:sz w:val="13"/>
                <w:szCs w:val="13"/>
                <w:b w:val="1"/>
                <w:bCs w:val="1"/>
                <w:color w:val="auto"/>
              </w:rPr>
              <w:t>Name</w:t>
            </w:r>
          </w:p>
        </w:tc>
        <w:tc>
          <w:tcPr>
            <w:tcW w:w="1080" w:type="dxa"/>
            <w:vAlign w:val="bottom"/>
          </w:tcPr>
          <w:p>
            <w:pPr>
              <w:ind w:left="220"/>
              <w:spacing w:after="0"/>
              <w:rPr>
                <w:sz w:val="20"/>
                <w:szCs w:val="20"/>
                <w:color w:val="auto"/>
              </w:rPr>
            </w:pPr>
            <w:r>
              <w:rPr>
                <w:rFonts w:ascii="Arial" w:cs="Arial" w:eastAsia="Arial" w:hAnsi="Arial"/>
                <w:sz w:val="13"/>
                <w:szCs w:val="13"/>
                <w:b w:val="1"/>
                <w:bCs w:val="1"/>
                <w:color w:val="auto"/>
              </w:rPr>
              <w:t>Grant Date</w:t>
            </w:r>
          </w:p>
        </w:tc>
        <w:tc>
          <w:tcPr>
            <w:tcW w:w="1220" w:type="dxa"/>
            <w:vAlign w:val="bottom"/>
          </w:tcPr>
          <w:p>
            <w:pPr>
              <w:jc w:val="right"/>
              <w:spacing w:after="0"/>
              <w:rPr>
                <w:sz w:val="20"/>
                <w:szCs w:val="20"/>
                <w:color w:val="auto"/>
              </w:rPr>
            </w:pPr>
            <w:r>
              <w:rPr>
                <w:rFonts w:ascii="Arial" w:cs="Arial" w:eastAsia="Arial" w:hAnsi="Arial"/>
                <w:sz w:val="13"/>
                <w:szCs w:val="13"/>
                <w:b w:val="1"/>
                <w:bCs w:val="1"/>
                <w:color w:val="auto"/>
              </w:rPr>
              <w:t>Exercisable</w:t>
            </w:r>
          </w:p>
        </w:tc>
        <w:tc>
          <w:tcPr>
            <w:tcW w:w="1240" w:type="dxa"/>
            <w:vAlign w:val="bottom"/>
          </w:tcPr>
          <w:p>
            <w:pPr>
              <w:jc w:val="right"/>
              <w:spacing w:after="0"/>
              <w:rPr>
                <w:sz w:val="20"/>
                <w:szCs w:val="20"/>
                <w:color w:val="auto"/>
              </w:rPr>
            </w:pPr>
            <w:r>
              <w:rPr>
                <w:rFonts w:ascii="Arial" w:cs="Arial" w:eastAsia="Arial" w:hAnsi="Arial"/>
                <w:sz w:val="13"/>
                <w:szCs w:val="13"/>
                <w:b w:val="1"/>
                <w:bCs w:val="1"/>
                <w:color w:val="auto"/>
              </w:rPr>
              <w:t>Unexercisable</w:t>
            </w:r>
          </w:p>
        </w:tc>
        <w:tc>
          <w:tcPr>
            <w:tcW w:w="14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Date</w:t>
            </w:r>
          </w:p>
        </w:tc>
        <w:tc>
          <w:tcPr>
            <w:tcW w:w="118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280" w:type="dxa"/>
            <w:vAlign w:val="bottom"/>
          </w:tcPr>
          <w:p>
            <w:pPr>
              <w:jc w:val="right"/>
              <w:ind w:right="97"/>
              <w:spacing w:after="0"/>
              <w:rPr>
                <w:sz w:val="20"/>
                <w:szCs w:val="20"/>
                <w:color w:val="auto"/>
              </w:rPr>
            </w:pPr>
            <w:r>
              <w:rPr>
                <w:rFonts w:ascii="Arial" w:cs="Arial" w:eastAsia="Arial" w:hAnsi="Arial"/>
                <w:sz w:val="13"/>
                <w:szCs w:val="13"/>
                <w:b w:val="1"/>
                <w:bCs w:val="1"/>
                <w:color w:val="auto"/>
              </w:rPr>
              <w:t>Not Vested ($)</w:t>
            </w:r>
            <w:r>
              <w:rPr>
                <w:rFonts w:ascii="Arial" w:cs="Arial" w:eastAsia="Arial" w:hAnsi="Arial"/>
                <w:sz w:val="16"/>
                <w:szCs w:val="16"/>
                <w:b w:val="1"/>
                <w:bCs w:val="1"/>
                <w:color w:val="auto"/>
                <w:vertAlign w:val="superscript"/>
              </w:rPr>
              <w:t>(1)</w:t>
            </w:r>
          </w:p>
        </w:tc>
        <w:tc>
          <w:tcPr>
            <w:tcW w:w="0" w:type="dxa"/>
            <w:vAlign w:val="bottom"/>
          </w:tcPr>
          <w:p>
            <w:pPr>
              <w:spacing w:after="0"/>
              <w:rPr>
                <w:sz w:val="1"/>
                <w:szCs w:val="1"/>
                <w:color w:val="auto"/>
              </w:rPr>
            </w:pPr>
          </w:p>
        </w:tc>
      </w:tr>
      <w:tr>
        <w:trPr>
          <w:trHeight w:val="61"/>
        </w:trPr>
        <w:tc>
          <w:tcPr>
            <w:tcW w:w="17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4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00" w:type="dxa"/>
            <w:vAlign w:val="bottom"/>
            <w:tcBorders>
              <w:right w:val="single" w:sz="8" w:color="auto"/>
            </w:tcBorders>
          </w:tcPr>
          <w:p>
            <w:pPr>
              <w:spacing w:after="0"/>
              <w:rPr>
                <w:sz w:val="5"/>
                <w:szCs w:val="5"/>
                <w:color w:val="auto"/>
              </w:rPr>
            </w:pPr>
          </w:p>
        </w:tc>
        <w:tc>
          <w:tcPr>
            <w:tcW w:w="11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1740" w:type="dxa"/>
            <w:vAlign w:val="bottom"/>
            <w:tcBorders>
              <w:bottom w:val="single" w:sz="8" w:color="F1F2F2"/>
            </w:tcBorders>
            <w:shd w:val="clear" w:color="auto" w:fill="F1F2F2"/>
          </w:tcPr>
          <w:p>
            <w:pPr>
              <w:ind w:left="100"/>
              <w:spacing w:after="0"/>
              <w:rPr>
                <w:sz w:val="20"/>
                <w:szCs w:val="20"/>
                <w:color w:val="auto"/>
              </w:rPr>
            </w:pPr>
            <w:r>
              <w:rPr>
                <w:rFonts w:ascii="Arial" w:cs="Arial" w:eastAsia="Arial" w:hAnsi="Arial"/>
                <w:sz w:val="13"/>
                <w:szCs w:val="13"/>
                <w:b w:val="1"/>
                <w:bCs w:val="1"/>
                <w:color w:val="auto"/>
              </w:rPr>
              <w:t>Junkoo Kim</w:t>
            </w:r>
          </w:p>
        </w:tc>
        <w:tc>
          <w:tcPr>
            <w:tcW w:w="1080" w:type="dxa"/>
            <w:vAlign w:val="bottom"/>
            <w:tcBorders>
              <w:bottom w:val="single" w:sz="8" w:color="F1F2F2"/>
            </w:tcBorders>
            <w:shd w:val="clear" w:color="auto" w:fill="F1F2F2"/>
          </w:tcPr>
          <w:p>
            <w:pPr>
              <w:jc w:val="center"/>
              <w:spacing w:after="0"/>
              <w:rPr>
                <w:sz w:val="20"/>
                <w:szCs w:val="20"/>
                <w:color w:val="auto"/>
              </w:rPr>
            </w:pPr>
            <w:r>
              <w:rPr>
                <w:rFonts w:ascii="Arial" w:cs="Arial" w:eastAsia="Arial" w:hAnsi="Arial"/>
                <w:sz w:val="13"/>
                <w:szCs w:val="13"/>
                <w:color w:val="auto"/>
                <w:w w:val="95"/>
              </w:rPr>
              <w:t>11/23/2020</w:t>
            </w:r>
          </w:p>
        </w:tc>
        <w:tc>
          <w:tcPr>
            <w:tcW w:w="1220" w:type="dxa"/>
            <w:vAlign w:val="bottom"/>
            <w:tcBorders>
              <w:bottom w:val="single" w:sz="8" w:color="F1F2F2"/>
            </w:tcBorders>
            <w:shd w:val="clear" w:color="auto" w:fill="F1F2F2"/>
          </w:tcPr>
          <w:p>
            <w:pPr>
              <w:jc w:val="right"/>
              <w:spacing w:after="0"/>
              <w:rPr>
                <w:sz w:val="20"/>
                <w:szCs w:val="20"/>
                <w:color w:val="auto"/>
              </w:rPr>
            </w:pPr>
            <w:r>
              <w:rPr>
                <w:rFonts w:ascii="Arial" w:cs="Arial" w:eastAsia="Arial" w:hAnsi="Arial"/>
                <w:sz w:val="13"/>
                <w:szCs w:val="13"/>
                <w:color w:val="auto"/>
              </w:rPr>
              <w:t>3,461,670</w:t>
            </w:r>
          </w:p>
        </w:tc>
        <w:tc>
          <w:tcPr>
            <w:tcW w:w="1240" w:type="dxa"/>
            <w:vAlign w:val="bottom"/>
            <w:tcBorders>
              <w:bottom w:val="single" w:sz="8" w:color="F1F2F2"/>
            </w:tcBorders>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1400" w:type="dxa"/>
            <w:vAlign w:val="bottom"/>
            <w:tcBorders>
              <w:bottom w:val="single" w:sz="8" w:color="F1F2F2"/>
            </w:tcBorders>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F1F2F2"/>
            </w:tcBorders>
            <w:shd w:val="clear" w:color="auto" w:fill="F1F2F2"/>
          </w:tcPr>
          <w:p>
            <w:pPr>
              <w:jc w:val="right"/>
              <w:spacing w:after="0"/>
              <w:rPr>
                <w:sz w:val="20"/>
                <w:szCs w:val="20"/>
                <w:color w:val="auto"/>
              </w:rPr>
            </w:pPr>
            <w:r>
              <w:rPr>
                <w:rFonts w:ascii="Arial" w:cs="Arial" w:eastAsia="Arial" w:hAnsi="Arial"/>
                <w:sz w:val="13"/>
                <w:szCs w:val="13"/>
                <w:color w:val="auto"/>
              </w:rPr>
              <w:t>11.04</w:t>
            </w:r>
          </w:p>
        </w:tc>
        <w:tc>
          <w:tcPr>
            <w:tcW w:w="1100" w:type="dxa"/>
            <w:vAlign w:val="bottom"/>
            <w:tcBorders>
              <w:bottom w:val="single" w:sz="8" w:color="F1F2F2"/>
              <w:right w:val="single" w:sz="8" w:color="F1F2F2"/>
            </w:tcBorders>
            <w:shd w:val="clear" w:color="auto" w:fill="F1F2F2"/>
          </w:tcPr>
          <w:p>
            <w:pPr>
              <w:jc w:val="center"/>
              <w:spacing w:after="0"/>
              <w:rPr>
                <w:sz w:val="20"/>
                <w:szCs w:val="20"/>
                <w:color w:val="auto"/>
              </w:rPr>
            </w:pPr>
            <w:r>
              <w:rPr>
                <w:rFonts w:ascii="Arial" w:cs="Arial" w:eastAsia="Arial" w:hAnsi="Arial"/>
                <w:sz w:val="13"/>
                <w:szCs w:val="13"/>
                <w:color w:val="auto"/>
                <w:w w:val="95"/>
              </w:rPr>
              <w:t>11/23/2028</w:t>
            </w:r>
          </w:p>
        </w:tc>
        <w:tc>
          <w:tcPr>
            <w:tcW w:w="1180" w:type="dxa"/>
            <w:vAlign w:val="bottom"/>
            <w:tcBorders>
              <w:bottom w:val="single" w:sz="8" w:color="F1F2F2"/>
            </w:tcBorders>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1280" w:type="dxa"/>
            <w:vAlign w:val="bottom"/>
            <w:tcBorders>
              <w:bottom w:val="single" w:sz="8" w:color="F1F2F2"/>
            </w:tcBorders>
            <w:shd w:val="clear" w:color="auto" w:fill="F1F2F2"/>
          </w:tcPr>
          <w:p>
            <w:pPr>
              <w:jc w:val="right"/>
              <w:ind w:right="1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59"/>
        </w:trPr>
        <w:tc>
          <w:tcPr>
            <w:tcW w:w="1740" w:type="dxa"/>
            <w:vAlign w:val="bottom"/>
          </w:tcPr>
          <w:p>
            <w:pPr>
              <w:spacing w:after="0"/>
              <w:rPr>
                <w:sz w:val="22"/>
                <w:szCs w:val="22"/>
                <w:color w:val="auto"/>
              </w:rPr>
            </w:pPr>
          </w:p>
        </w:tc>
        <w:tc>
          <w:tcPr>
            <w:tcW w:w="1080" w:type="dxa"/>
            <w:vAlign w:val="bottom"/>
          </w:tcPr>
          <w:p>
            <w:pPr>
              <w:jc w:val="center"/>
              <w:spacing w:after="0"/>
              <w:rPr>
                <w:sz w:val="20"/>
                <w:szCs w:val="20"/>
                <w:color w:val="auto"/>
              </w:rPr>
            </w:pPr>
            <w:r>
              <w:rPr>
                <w:rFonts w:ascii="Arial" w:cs="Arial" w:eastAsia="Arial" w:hAnsi="Arial"/>
                <w:sz w:val="13"/>
                <w:szCs w:val="13"/>
                <w:color w:val="auto"/>
                <w:w w:val="96"/>
              </w:rPr>
              <w:t>4/12/2024</w:t>
            </w:r>
          </w:p>
        </w:tc>
        <w:tc>
          <w:tcPr>
            <w:tcW w:w="1220" w:type="dxa"/>
            <w:vAlign w:val="bottom"/>
          </w:tcPr>
          <w:p>
            <w:pPr>
              <w:jc w:val="right"/>
              <w:spacing w:after="0"/>
              <w:rPr>
                <w:sz w:val="20"/>
                <w:szCs w:val="20"/>
                <w:color w:val="auto"/>
              </w:rPr>
            </w:pPr>
            <w:r>
              <w:rPr>
                <w:rFonts w:ascii="Arial" w:cs="Arial" w:eastAsia="Arial" w:hAnsi="Arial"/>
                <w:sz w:val="13"/>
                <w:szCs w:val="13"/>
                <w:color w:val="auto"/>
              </w:rPr>
              <w:t>—</w:t>
            </w:r>
          </w:p>
        </w:tc>
        <w:tc>
          <w:tcPr>
            <w:tcW w:w="1240" w:type="dxa"/>
            <w:vAlign w:val="bottom"/>
          </w:tcPr>
          <w:p>
            <w:pPr>
              <w:jc w:val="right"/>
              <w:spacing w:after="0"/>
              <w:rPr>
                <w:sz w:val="20"/>
                <w:szCs w:val="20"/>
                <w:color w:val="auto"/>
              </w:rPr>
            </w:pPr>
            <w:r>
              <w:rPr>
                <w:rFonts w:ascii="Arial" w:cs="Arial" w:eastAsia="Arial" w:hAnsi="Arial"/>
                <w:sz w:val="13"/>
                <w:szCs w:val="13"/>
                <w:color w:val="auto"/>
              </w:rPr>
              <w:t>—</w:t>
            </w:r>
          </w:p>
        </w:tc>
        <w:tc>
          <w:tcPr>
            <w:tcW w:w="140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11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114,210</w:t>
            </w:r>
            <w:r>
              <w:rPr>
                <w:rFonts w:ascii="Arial" w:cs="Arial" w:eastAsia="Arial" w:hAnsi="Arial"/>
                <w:sz w:val="16"/>
                <w:szCs w:val="16"/>
                <w:color w:val="auto"/>
                <w:vertAlign w:val="superscript"/>
              </w:rPr>
              <w:t>(2)</w:t>
            </w:r>
          </w:p>
        </w:tc>
        <w:tc>
          <w:tcPr>
            <w:tcW w:w="1280" w:type="dxa"/>
            <w:vAlign w:val="bottom"/>
          </w:tcPr>
          <w:p>
            <w:pPr>
              <w:jc w:val="right"/>
              <w:ind w:right="157"/>
              <w:spacing w:after="0"/>
              <w:rPr>
                <w:sz w:val="20"/>
                <w:szCs w:val="20"/>
                <w:color w:val="auto"/>
              </w:rPr>
            </w:pPr>
            <w:r>
              <w:rPr>
                <w:rFonts w:ascii="Arial" w:cs="Arial" w:eastAsia="Arial" w:hAnsi="Arial"/>
                <w:sz w:val="13"/>
                <w:szCs w:val="13"/>
                <w:color w:val="auto"/>
              </w:rPr>
              <w:t>1,488,156</w:t>
            </w:r>
          </w:p>
        </w:tc>
        <w:tc>
          <w:tcPr>
            <w:tcW w:w="0" w:type="dxa"/>
            <w:vAlign w:val="bottom"/>
          </w:tcPr>
          <w:p>
            <w:pPr>
              <w:spacing w:after="0"/>
              <w:rPr>
                <w:sz w:val="1"/>
                <w:szCs w:val="1"/>
                <w:color w:val="auto"/>
              </w:rPr>
            </w:pPr>
          </w:p>
        </w:tc>
      </w:tr>
      <w:tr>
        <w:trPr>
          <w:trHeight w:val="270"/>
        </w:trPr>
        <w:tc>
          <w:tcPr>
            <w:tcW w:w="1740" w:type="dxa"/>
            <w:vAlign w:val="bottom"/>
          </w:tcPr>
          <w:p>
            <w:pPr>
              <w:ind w:left="100"/>
              <w:spacing w:after="0"/>
              <w:rPr>
                <w:sz w:val="20"/>
                <w:szCs w:val="20"/>
                <w:color w:val="auto"/>
              </w:rPr>
            </w:pPr>
            <w:r>
              <w:rPr>
                <w:rFonts w:ascii="Arial" w:cs="Arial" w:eastAsia="Arial" w:hAnsi="Arial"/>
                <w:sz w:val="13"/>
                <w:szCs w:val="13"/>
                <w:b w:val="1"/>
                <w:bCs w:val="1"/>
                <w:color w:val="auto"/>
              </w:rPr>
              <w:t>David J. Lee</w:t>
            </w:r>
          </w:p>
        </w:tc>
        <w:tc>
          <w:tcPr>
            <w:tcW w:w="1080" w:type="dxa"/>
            <w:vAlign w:val="bottom"/>
          </w:tcPr>
          <w:p>
            <w:pPr>
              <w:jc w:val="center"/>
              <w:spacing w:after="0"/>
              <w:rPr>
                <w:sz w:val="20"/>
                <w:szCs w:val="20"/>
                <w:color w:val="auto"/>
              </w:rPr>
            </w:pPr>
            <w:r>
              <w:rPr>
                <w:rFonts w:ascii="Arial" w:cs="Arial" w:eastAsia="Arial" w:hAnsi="Arial"/>
                <w:sz w:val="13"/>
                <w:szCs w:val="13"/>
                <w:color w:val="auto"/>
                <w:w w:val="95"/>
              </w:rPr>
              <w:t>11/22/2023</w:t>
            </w:r>
          </w:p>
        </w:tc>
        <w:tc>
          <w:tcPr>
            <w:tcW w:w="1220" w:type="dxa"/>
            <w:vAlign w:val="bottom"/>
          </w:tcPr>
          <w:p>
            <w:pPr>
              <w:jc w:val="right"/>
              <w:spacing w:after="0"/>
              <w:rPr>
                <w:sz w:val="20"/>
                <w:szCs w:val="20"/>
                <w:color w:val="auto"/>
              </w:rPr>
            </w:pPr>
            <w:r>
              <w:rPr>
                <w:rFonts w:ascii="Arial" w:cs="Arial" w:eastAsia="Arial" w:hAnsi="Arial"/>
                <w:sz w:val="13"/>
                <w:szCs w:val="13"/>
                <w:color w:val="auto"/>
              </w:rPr>
              <w:t>—</w:t>
            </w:r>
          </w:p>
        </w:tc>
        <w:tc>
          <w:tcPr>
            <w:tcW w:w="1240" w:type="dxa"/>
            <w:vAlign w:val="bottom"/>
          </w:tcPr>
          <w:p>
            <w:pPr>
              <w:jc w:val="right"/>
              <w:spacing w:after="0"/>
              <w:rPr>
                <w:sz w:val="20"/>
                <w:szCs w:val="20"/>
                <w:color w:val="auto"/>
              </w:rPr>
            </w:pPr>
            <w:r>
              <w:rPr>
                <w:rFonts w:ascii="Arial" w:cs="Arial" w:eastAsia="Arial" w:hAnsi="Arial"/>
                <w:sz w:val="13"/>
                <w:szCs w:val="13"/>
                <w:color w:val="auto"/>
              </w:rPr>
              <w:t>—</w:t>
            </w:r>
          </w:p>
        </w:tc>
        <w:tc>
          <w:tcPr>
            <w:tcW w:w="140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11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23,721</w:t>
            </w:r>
            <w:r>
              <w:rPr>
                <w:rFonts w:ascii="Arial" w:cs="Arial" w:eastAsia="Arial" w:hAnsi="Arial"/>
                <w:sz w:val="16"/>
                <w:szCs w:val="16"/>
                <w:color w:val="auto"/>
                <w:vertAlign w:val="superscript"/>
              </w:rPr>
              <w:t>(3)</w:t>
            </w:r>
          </w:p>
        </w:tc>
        <w:tc>
          <w:tcPr>
            <w:tcW w:w="1280" w:type="dxa"/>
            <w:vAlign w:val="bottom"/>
          </w:tcPr>
          <w:p>
            <w:pPr>
              <w:jc w:val="right"/>
              <w:ind w:right="157"/>
              <w:spacing w:after="0"/>
              <w:rPr>
                <w:sz w:val="20"/>
                <w:szCs w:val="20"/>
                <w:color w:val="auto"/>
              </w:rPr>
            </w:pPr>
            <w:r>
              <w:rPr>
                <w:rFonts w:ascii="Arial" w:cs="Arial" w:eastAsia="Arial" w:hAnsi="Arial"/>
                <w:sz w:val="13"/>
                <w:szCs w:val="13"/>
                <w:color w:val="auto"/>
              </w:rPr>
              <w:t>309,085</w:t>
            </w:r>
          </w:p>
        </w:tc>
        <w:tc>
          <w:tcPr>
            <w:tcW w:w="0" w:type="dxa"/>
            <w:vAlign w:val="bottom"/>
          </w:tcPr>
          <w:p>
            <w:pPr>
              <w:spacing w:after="0"/>
              <w:rPr>
                <w:sz w:val="1"/>
                <w:szCs w:val="1"/>
                <w:color w:val="auto"/>
              </w:rPr>
            </w:pPr>
          </w:p>
        </w:tc>
      </w:tr>
      <w:tr>
        <w:trPr>
          <w:trHeight w:val="276"/>
        </w:trPr>
        <w:tc>
          <w:tcPr>
            <w:tcW w:w="1740" w:type="dxa"/>
            <w:vAlign w:val="bottom"/>
          </w:tcPr>
          <w:p>
            <w:pPr>
              <w:spacing w:after="0"/>
              <w:rPr>
                <w:sz w:val="23"/>
                <w:szCs w:val="23"/>
                <w:color w:val="auto"/>
              </w:rPr>
            </w:pPr>
          </w:p>
        </w:tc>
        <w:tc>
          <w:tcPr>
            <w:tcW w:w="1080" w:type="dxa"/>
            <w:vAlign w:val="bottom"/>
          </w:tcPr>
          <w:p>
            <w:pPr>
              <w:jc w:val="center"/>
              <w:spacing w:after="0"/>
              <w:rPr>
                <w:sz w:val="20"/>
                <w:szCs w:val="20"/>
                <w:color w:val="auto"/>
              </w:rPr>
            </w:pPr>
            <w:r>
              <w:rPr>
                <w:rFonts w:ascii="Arial" w:cs="Arial" w:eastAsia="Arial" w:hAnsi="Arial"/>
                <w:sz w:val="13"/>
                <w:szCs w:val="13"/>
                <w:color w:val="auto"/>
                <w:w w:val="95"/>
              </w:rPr>
              <w:t>11/22/2023</w:t>
            </w:r>
          </w:p>
        </w:tc>
        <w:tc>
          <w:tcPr>
            <w:tcW w:w="1220" w:type="dxa"/>
            <w:vAlign w:val="bottom"/>
          </w:tcPr>
          <w:p>
            <w:pPr>
              <w:jc w:val="right"/>
              <w:spacing w:after="0"/>
              <w:rPr>
                <w:sz w:val="20"/>
                <w:szCs w:val="20"/>
                <w:color w:val="auto"/>
              </w:rPr>
            </w:pPr>
            <w:r>
              <w:rPr>
                <w:rFonts w:ascii="Arial" w:cs="Arial" w:eastAsia="Arial" w:hAnsi="Arial"/>
                <w:sz w:val="13"/>
                <w:szCs w:val="13"/>
                <w:color w:val="auto"/>
              </w:rPr>
              <w:t>395,339</w:t>
            </w:r>
          </w:p>
        </w:tc>
        <w:tc>
          <w:tcPr>
            <w:tcW w:w="1240" w:type="dxa"/>
            <w:vAlign w:val="bottom"/>
          </w:tcPr>
          <w:p>
            <w:pPr>
              <w:jc w:val="right"/>
              <w:spacing w:after="0"/>
              <w:rPr>
                <w:sz w:val="20"/>
                <w:szCs w:val="20"/>
                <w:color w:val="auto"/>
              </w:rPr>
            </w:pPr>
            <w:r>
              <w:rPr>
                <w:rFonts w:ascii="Arial" w:cs="Arial" w:eastAsia="Arial" w:hAnsi="Arial"/>
                <w:sz w:val="13"/>
                <w:szCs w:val="13"/>
                <w:color w:val="auto"/>
              </w:rPr>
              <w:t>197,670</w:t>
            </w:r>
            <w:r>
              <w:rPr>
                <w:rFonts w:ascii="Arial" w:cs="Arial" w:eastAsia="Arial" w:hAnsi="Arial"/>
                <w:sz w:val="16"/>
                <w:szCs w:val="16"/>
                <w:color w:val="auto"/>
                <w:vertAlign w:val="superscript"/>
              </w:rPr>
              <w:t>(4)</w:t>
            </w:r>
          </w:p>
        </w:tc>
        <w:tc>
          <w:tcPr>
            <w:tcW w:w="140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20.34</w:t>
            </w:r>
          </w:p>
        </w:tc>
        <w:tc>
          <w:tcPr>
            <w:tcW w:w="1100" w:type="dxa"/>
            <w:vAlign w:val="bottom"/>
          </w:tcPr>
          <w:p>
            <w:pPr>
              <w:jc w:val="center"/>
              <w:spacing w:after="0"/>
              <w:rPr>
                <w:sz w:val="20"/>
                <w:szCs w:val="20"/>
                <w:color w:val="auto"/>
              </w:rPr>
            </w:pPr>
            <w:r>
              <w:rPr>
                <w:rFonts w:ascii="Arial" w:cs="Arial" w:eastAsia="Arial" w:hAnsi="Arial"/>
                <w:sz w:val="13"/>
                <w:szCs w:val="13"/>
                <w:color w:val="auto"/>
                <w:w w:val="95"/>
              </w:rPr>
              <w:t>11/22/2031</w:t>
            </w:r>
          </w:p>
        </w:tc>
        <w:tc>
          <w:tcPr>
            <w:tcW w:w="1180" w:type="dxa"/>
            <w:vAlign w:val="bottom"/>
          </w:tcPr>
          <w:p>
            <w:pPr>
              <w:jc w:val="right"/>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4"/>
        </w:trPr>
        <w:tc>
          <w:tcPr>
            <w:tcW w:w="1740" w:type="dxa"/>
            <w:vAlign w:val="bottom"/>
            <w:shd w:val="clear" w:color="auto" w:fill="F1F2F2"/>
          </w:tcPr>
          <w:p>
            <w:pPr>
              <w:spacing w:after="0"/>
              <w:rPr>
                <w:sz w:val="22"/>
                <w:szCs w:val="22"/>
                <w:color w:val="auto"/>
              </w:rPr>
            </w:pPr>
          </w:p>
        </w:tc>
        <w:tc>
          <w:tcPr>
            <w:tcW w:w="1080" w:type="dxa"/>
            <w:vAlign w:val="bottom"/>
            <w:shd w:val="clear" w:color="auto" w:fill="F1F2F2"/>
          </w:tcPr>
          <w:p>
            <w:pPr>
              <w:jc w:val="center"/>
              <w:spacing w:after="0"/>
              <w:rPr>
                <w:sz w:val="20"/>
                <w:szCs w:val="20"/>
                <w:color w:val="auto"/>
              </w:rPr>
            </w:pPr>
            <w:r>
              <w:rPr>
                <w:rFonts w:ascii="Arial" w:cs="Arial" w:eastAsia="Arial" w:hAnsi="Arial"/>
                <w:sz w:val="13"/>
                <w:szCs w:val="13"/>
                <w:color w:val="auto"/>
                <w:w w:val="94"/>
              </w:rPr>
              <w:t>3/7/2025</w:t>
            </w:r>
          </w:p>
        </w:tc>
        <w:tc>
          <w:tcPr>
            <w:tcW w:w="122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124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140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1100" w:type="dxa"/>
            <w:vAlign w:val="bottom"/>
            <w:tcBorders>
              <w:right w:val="single" w:sz="8" w:color="F1F2F2"/>
            </w:tcBorders>
            <w:shd w:val="clear" w:color="auto" w:fill="F1F2F2"/>
          </w:tcPr>
          <w:p>
            <w:pPr>
              <w:jc w:val="center"/>
              <w:spacing w:after="0"/>
              <w:rPr>
                <w:sz w:val="20"/>
                <w:szCs w:val="20"/>
                <w:color w:val="auto"/>
              </w:rPr>
            </w:pPr>
            <w:r>
              <w:rPr>
                <w:rFonts w:ascii="Arial" w:cs="Arial" w:eastAsia="Arial" w:hAnsi="Arial"/>
                <w:sz w:val="14"/>
                <w:szCs w:val="14"/>
                <w:color w:val="auto"/>
                <w:w w:val="99"/>
              </w:rPr>
              <w:t>—</w:t>
            </w:r>
          </w:p>
        </w:tc>
        <w:tc>
          <w:tcPr>
            <w:tcW w:w="1180" w:type="dxa"/>
            <w:vAlign w:val="bottom"/>
            <w:shd w:val="clear" w:color="auto" w:fill="F1F2F2"/>
          </w:tcPr>
          <w:p>
            <w:pPr>
              <w:jc w:val="right"/>
              <w:spacing w:after="0"/>
              <w:rPr>
                <w:sz w:val="20"/>
                <w:szCs w:val="20"/>
                <w:color w:val="auto"/>
              </w:rPr>
            </w:pPr>
            <w:r>
              <w:rPr>
                <w:rFonts w:ascii="Arial" w:cs="Arial" w:eastAsia="Arial" w:hAnsi="Arial"/>
                <w:sz w:val="13"/>
                <w:szCs w:val="13"/>
                <w:color w:val="auto"/>
              </w:rPr>
              <w:t>15,962</w:t>
            </w:r>
            <w:r>
              <w:rPr>
                <w:rFonts w:ascii="Arial" w:cs="Arial" w:eastAsia="Arial" w:hAnsi="Arial"/>
                <w:sz w:val="16"/>
                <w:szCs w:val="16"/>
                <w:color w:val="auto"/>
                <w:vertAlign w:val="superscript"/>
              </w:rPr>
              <w:t>(5)</w:t>
            </w:r>
          </w:p>
        </w:tc>
        <w:tc>
          <w:tcPr>
            <w:tcW w:w="1280" w:type="dxa"/>
            <w:vAlign w:val="bottom"/>
            <w:shd w:val="clear" w:color="auto" w:fill="F1F2F2"/>
          </w:tcPr>
          <w:p>
            <w:pPr>
              <w:jc w:val="right"/>
              <w:ind w:right="157"/>
              <w:spacing w:after="0"/>
              <w:rPr>
                <w:sz w:val="20"/>
                <w:szCs w:val="20"/>
                <w:color w:val="auto"/>
              </w:rPr>
            </w:pPr>
            <w:r>
              <w:rPr>
                <w:rFonts w:ascii="Arial" w:cs="Arial" w:eastAsia="Arial" w:hAnsi="Arial"/>
                <w:sz w:val="13"/>
                <w:szCs w:val="13"/>
                <w:color w:val="auto"/>
              </w:rPr>
              <w:t>207,985</w:t>
            </w:r>
          </w:p>
        </w:tc>
        <w:tc>
          <w:tcPr>
            <w:tcW w:w="0" w:type="dxa"/>
            <w:vAlign w:val="bottom"/>
          </w:tcPr>
          <w:p>
            <w:pPr>
              <w:spacing w:after="0"/>
              <w:rPr>
                <w:sz w:val="1"/>
                <w:szCs w:val="1"/>
                <w:color w:val="auto"/>
              </w:rPr>
            </w:pPr>
          </w:p>
        </w:tc>
      </w:tr>
      <w:tr>
        <w:trPr>
          <w:trHeight w:val="270"/>
        </w:trPr>
        <w:tc>
          <w:tcPr>
            <w:tcW w:w="1740" w:type="dxa"/>
            <w:vAlign w:val="bottom"/>
            <w:shd w:val="clear" w:color="auto" w:fill="F1F2F2"/>
          </w:tcPr>
          <w:p>
            <w:pPr>
              <w:spacing w:after="0"/>
              <w:rPr>
                <w:sz w:val="23"/>
                <w:szCs w:val="23"/>
                <w:color w:val="auto"/>
              </w:rPr>
            </w:pPr>
          </w:p>
        </w:tc>
        <w:tc>
          <w:tcPr>
            <w:tcW w:w="1080" w:type="dxa"/>
            <w:vAlign w:val="bottom"/>
            <w:shd w:val="clear" w:color="auto" w:fill="F1F2F2"/>
          </w:tcPr>
          <w:p>
            <w:pPr>
              <w:jc w:val="center"/>
              <w:spacing w:after="0"/>
              <w:rPr>
                <w:sz w:val="20"/>
                <w:szCs w:val="20"/>
                <w:color w:val="auto"/>
              </w:rPr>
            </w:pPr>
            <w:r>
              <w:rPr>
                <w:rFonts w:ascii="Arial" w:cs="Arial" w:eastAsia="Arial" w:hAnsi="Arial"/>
                <w:sz w:val="13"/>
                <w:szCs w:val="13"/>
                <w:color w:val="auto"/>
                <w:w w:val="96"/>
              </w:rPr>
              <w:t>5/28/2024</w:t>
            </w:r>
          </w:p>
        </w:tc>
        <w:tc>
          <w:tcPr>
            <w:tcW w:w="122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124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140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1100" w:type="dxa"/>
            <w:vAlign w:val="bottom"/>
            <w:tcBorders>
              <w:right w:val="single" w:sz="8" w:color="F1F2F2"/>
            </w:tcBorders>
            <w:shd w:val="clear" w:color="auto" w:fill="F1F2F2"/>
          </w:tcPr>
          <w:p>
            <w:pPr>
              <w:jc w:val="center"/>
              <w:spacing w:after="0"/>
              <w:rPr>
                <w:sz w:val="20"/>
                <w:szCs w:val="20"/>
                <w:color w:val="auto"/>
              </w:rPr>
            </w:pPr>
            <w:r>
              <w:rPr>
                <w:rFonts w:ascii="Arial" w:cs="Arial" w:eastAsia="Arial" w:hAnsi="Arial"/>
                <w:sz w:val="14"/>
                <w:szCs w:val="14"/>
                <w:color w:val="auto"/>
                <w:w w:val="99"/>
              </w:rPr>
              <w:t>—</w:t>
            </w:r>
          </w:p>
        </w:tc>
        <w:tc>
          <w:tcPr>
            <w:tcW w:w="1180" w:type="dxa"/>
            <w:vAlign w:val="bottom"/>
            <w:shd w:val="clear" w:color="auto" w:fill="F1F2F2"/>
          </w:tcPr>
          <w:p>
            <w:pPr>
              <w:jc w:val="right"/>
              <w:spacing w:after="0"/>
              <w:rPr>
                <w:sz w:val="20"/>
                <w:szCs w:val="20"/>
                <w:color w:val="auto"/>
              </w:rPr>
            </w:pPr>
            <w:r>
              <w:rPr>
                <w:rFonts w:ascii="Arial" w:cs="Arial" w:eastAsia="Arial" w:hAnsi="Arial"/>
                <w:sz w:val="13"/>
                <w:szCs w:val="13"/>
                <w:color w:val="auto"/>
              </w:rPr>
              <w:t>72,177</w:t>
            </w:r>
            <w:r>
              <w:rPr>
                <w:rFonts w:ascii="Arial" w:cs="Arial" w:eastAsia="Arial" w:hAnsi="Arial"/>
                <w:sz w:val="16"/>
                <w:szCs w:val="16"/>
                <w:color w:val="auto"/>
                <w:vertAlign w:val="superscript"/>
              </w:rPr>
              <w:t>(6)</w:t>
            </w:r>
          </w:p>
        </w:tc>
        <w:tc>
          <w:tcPr>
            <w:tcW w:w="1280" w:type="dxa"/>
            <w:vAlign w:val="bottom"/>
            <w:shd w:val="clear" w:color="auto" w:fill="F1F2F2"/>
          </w:tcPr>
          <w:p>
            <w:pPr>
              <w:jc w:val="right"/>
              <w:ind w:right="157"/>
              <w:spacing w:after="0"/>
              <w:rPr>
                <w:sz w:val="20"/>
                <w:szCs w:val="20"/>
                <w:color w:val="auto"/>
              </w:rPr>
            </w:pPr>
            <w:r>
              <w:rPr>
                <w:rFonts w:ascii="Arial" w:cs="Arial" w:eastAsia="Arial" w:hAnsi="Arial"/>
                <w:sz w:val="13"/>
                <w:szCs w:val="13"/>
                <w:color w:val="auto"/>
              </w:rPr>
              <w:t>940,466</w:t>
            </w:r>
          </w:p>
        </w:tc>
        <w:tc>
          <w:tcPr>
            <w:tcW w:w="0" w:type="dxa"/>
            <w:vAlign w:val="bottom"/>
          </w:tcPr>
          <w:p>
            <w:pPr>
              <w:spacing w:after="0"/>
              <w:rPr>
                <w:sz w:val="1"/>
                <w:szCs w:val="1"/>
                <w:color w:val="auto"/>
              </w:rPr>
            </w:pPr>
          </w:p>
        </w:tc>
      </w:tr>
      <w:tr>
        <w:trPr>
          <w:trHeight w:val="270"/>
        </w:trPr>
        <w:tc>
          <w:tcPr>
            <w:tcW w:w="1740" w:type="dxa"/>
            <w:vAlign w:val="bottom"/>
            <w:shd w:val="clear" w:color="auto" w:fill="F1F2F2"/>
          </w:tcPr>
          <w:p>
            <w:pPr>
              <w:spacing w:after="0"/>
              <w:rPr>
                <w:sz w:val="23"/>
                <w:szCs w:val="23"/>
                <w:color w:val="auto"/>
              </w:rPr>
            </w:pPr>
          </w:p>
        </w:tc>
        <w:tc>
          <w:tcPr>
            <w:tcW w:w="1080" w:type="dxa"/>
            <w:vAlign w:val="bottom"/>
            <w:shd w:val="clear" w:color="auto" w:fill="F1F2F2"/>
          </w:tcPr>
          <w:p>
            <w:pPr>
              <w:jc w:val="center"/>
              <w:spacing w:after="0"/>
              <w:rPr>
                <w:sz w:val="20"/>
                <w:szCs w:val="20"/>
                <w:color w:val="auto"/>
              </w:rPr>
            </w:pPr>
            <w:r>
              <w:rPr>
                <w:rFonts w:ascii="Arial" w:cs="Arial" w:eastAsia="Arial" w:hAnsi="Arial"/>
                <w:sz w:val="13"/>
                <w:szCs w:val="13"/>
                <w:color w:val="auto"/>
                <w:w w:val="96"/>
              </w:rPr>
              <w:t>5/10/2024</w:t>
            </w:r>
          </w:p>
        </w:tc>
        <w:tc>
          <w:tcPr>
            <w:tcW w:w="122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1240" w:type="dxa"/>
            <w:vAlign w:val="bottom"/>
            <w:shd w:val="clear" w:color="auto" w:fill="F1F2F2"/>
          </w:tcPr>
          <w:p>
            <w:pPr>
              <w:jc w:val="right"/>
              <w:spacing w:after="0"/>
              <w:rPr>
                <w:sz w:val="20"/>
                <w:szCs w:val="20"/>
                <w:color w:val="auto"/>
              </w:rPr>
            </w:pPr>
            <w:r>
              <w:rPr>
                <w:rFonts w:ascii="Arial" w:cs="Arial" w:eastAsia="Arial" w:hAnsi="Arial"/>
                <w:sz w:val="13"/>
                <w:szCs w:val="13"/>
                <w:color w:val="auto"/>
              </w:rPr>
              <w:t>98,070</w:t>
            </w:r>
            <w:r>
              <w:rPr>
                <w:rFonts w:ascii="Arial" w:cs="Arial" w:eastAsia="Arial" w:hAnsi="Arial"/>
                <w:sz w:val="16"/>
                <w:szCs w:val="16"/>
                <w:color w:val="auto"/>
                <w:vertAlign w:val="superscript"/>
              </w:rPr>
              <w:t>(7)</w:t>
            </w:r>
          </w:p>
        </w:tc>
        <w:tc>
          <w:tcPr>
            <w:tcW w:w="140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F1F2F2"/>
          </w:tcPr>
          <w:p>
            <w:pPr>
              <w:jc w:val="right"/>
              <w:spacing w:after="0"/>
              <w:rPr>
                <w:sz w:val="20"/>
                <w:szCs w:val="20"/>
                <w:color w:val="auto"/>
              </w:rPr>
            </w:pPr>
            <w:r>
              <w:rPr>
                <w:rFonts w:ascii="Arial" w:cs="Arial" w:eastAsia="Arial" w:hAnsi="Arial"/>
                <w:sz w:val="13"/>
                <w:szCs w:val="13"/>
                <w:color w:val="auto"/>
              </w:rPr>
              <w:t>22.50</w:t>
            </w:r>
          </w:p>
        </w:tc>
        <w:tc>
          <w:tcPr>
            <w:tcW w:w="1100" w:type="dxa"/>
            <w:vAlign w:val="bottom"/>
            <w:tcBorders>
              <w:right w:val="single" w:sz="8" w:color="F1F2F2"/>
            </w:tcBorders>
            <w:shd w:val="clear" w:color="auto" w:fill="F1F2F2"/>
          </w:tcPr>
          <w:p>
            <w:pPr>
              <w:jc w:val="center"/>
              <w:spacing w:after="0"/>
              <w:rPr>
                <w:sz w:val="20"/>
                <w:szCs w:val="20"/>
                <w:color w:val="auto"/>
              </w:rPr>
            </w:pPr>
            <w:r>
              <w:rPr>
                <w:rFonts w:ascii="Arial" w:cs="Arial" w:eastAsia="Arial" w:hAnsi="Arial"/>
                <w:sz w:val="13"/>
                <w:szCs w:val="13"/>
                <w:color w:val="auto"/>
                <w:w w:val="96"/>
              </w:rPr>
              <w:t>5/10/2032</w:t>
            </w:r>
          </w:p>
        </w:tc>
        <w:tc>
          <w:tcPr>
            <w:tcW w:w="118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1280" w:type="dxa"/>
            <w:vAlign w:val="bottom"/>
            <w:shd w:val="clear" w:color="auto" w:fill="F1F2F2"/>
          </w:tcPr>
          <w:p>
            <w:pPr>
              <w:jc w:val="right"/>
              <w:ind w:right="1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0"/>
        </w:trPr>
        <w:tc>
          <w:tcPr>
            <w:tcW w:w="1740" w:type="dxa"/>
            <w:vAlign w:val="bottom"/>
            <w:shd w:val="clear" w:color="auto" w:fill="F1F2F2"/>
          </w:tcPr>
          <w:p>
            <w:pPr>
              <w:ind w:left="100"/>
              <w:spacing w:after="0"/>
              <w:rPr>
                <w:sz w:val="20"/>
                <w:szCs w:val="20"/>
                <w:color w:val="auto"/>
              </w:rPr>
            </w:pPr>
            <w:r>
              <w:rPr>
                <w:rFonts w:ascii="Arial" w:cs="Arial" w:eastAsia="Arial" w:hAnsi="Arial"/>
                <w:sz w:val="13"/>
                <w:szCs w:val="13"/>
                <w:b w:val="1"/>
                <w:bCs w:val="1"/>
                <w:color w:val="auto"/>
              </w:rPr>
              <w:t>Chankyu Park</w:t>
            </w:r>
          </w:p>
        </w:tc>
        <w:tc>
          <w:tcPr>
            <w:tcW w:w="1080" w:type="dxa"/>
            <w:vAlign w:val="bottom"/>
            <w:shd w:val="clear" w:color="auto" w:fill="F1F2F2"/>
          </w:tcPr>
          <w:p>
            <w:pPr>
              <w:jc w:val="center"/>
              <w:spacing w:after="0"/>
              <w:rPr>
                <w:sz w:val="20"/>
                <w:szCs w:val="20"/>
                <w:color w:val="auto"/>
              </w:rPr>
            </w:pPr>
            <w:r>
              <w:rPr>
                <w:rFonts w:ascii="Arial" w:cs="Arial" w:eastAsia="Arial" w:hAnsi="Arial"/>
                <w:sz w:val="13"/>
                <w:szCs w:val="13"/>
                <w:color w:val="auto"/>
                <w:w w:val="95"/>
              </w:rPr>
              <w:t>11/22/2023</w:t>
            </w:r>
          </w:p>
        </w:tc>
        <w:tc>
          <w:tcPr>
            <w:tcW w:w="122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1240" w:type="dxa"/>
            <w:vAlign w:val="bottom"/>
            <w:shd w:val="clear" w:color="auto" w:fill="F1F2F2"/>
          </w:tcPr>
          <w:p>
            <w:pPr>
              <w:jc w:val="right"/>
              <w:spacing w:after="0"/>
              <w:rPr>
                <w:sz w:val="20"/>
                <w:szCs w:val="20"/>
                <w:color w:val="auto"/>
              </w:rPr>
            </w:pPr>
            <w:r>
              <w:rPr>
                <w:rFonts w:ascii="Arial" w:cs="Arial" w:eastAsia="Arial" w:hAnsi="Arial"/>
                <w:sz w:val="13"/>
                <w:szCs w:val="13"/>
                <w:color w:val="auto"/>
              </w:rPr>
              <w:t>49,500</w:t>
            </w:r>
            <w:r>
              <w:rPr>
                <w:rFonts w:ascii="Arial" w:cs="Arial" w:eastAsia="Arial" w:hAnsi="Arial"/>
                <w:sz w:val="16"/>
                <w:szCs w:val="16"/>
                <w:color w:val="auto"/>
                <w:vertAlign w:val="superscript"/>
              </w:rPr>
              <w:t>(8)</w:t>
            </w:r>
          </w:p>
        </w:tc>
        <w:tc>
          <w:tcPr>
            <w:tcW w:w="140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F1F2F2"/>
          </w:tcPr>
          <w:p>
            <w:pPr>
              <w:jc w:val="right"/>
              <w:spacing w:after="0"/>
              <w:rPr>
                <w:sz w:val="20"/>
                <w:szCs w:val="20"/>
                <w:color w:val="auto"/>
              </w:rPr>
            </w:pPr>
            <w:r>
              <w:rPr>
                <w:rFonts w:ascii="Arial" w:cs="Arial" w:eastAsia="Arial" w:hAnsi="Arial"/>
                <w:sz w:val="13"/>
                <w:szCs w:val="13"/>
                <w:color w:val="auto"/>
              </w:rPr>
              <w:t>20.34</w:t>
            </w:r>
          </w:p>
        </w:tc>
        <w:tc>
          <w:tcPr>
            <w:tcW w:w="1100" w:type="dxa"/>
            <w:vAlign w:val="bottom"/>
            <w:tcBorders>
              <w:right w:val="single" w:sz="8" w:color="F1F2F2"/>
            </w:tcBorders>
            <w:shd w:val="clear" w:color="auto" w:fill="F1F2F2"/>
          </w:tcPr>
          <w:p>
            <w:pPr>
              <w:jc w:val="center"/>
              <w:spacing w:after="0"/>
              <w:rPr>
                <w:sz w:val="20"/>
                <w:szCs w:val="20"/>
                <w:color w:val="auto"/>
              </w:rPr>
            </w:pPr>
            <w:r>
              <w:rPr>
                <w:rFonts w:ascii="Arial" w:cs="Arial" w:eastAsia="Arial" w:hAnsi="Arial"/>
                <w:sz w:val="13"/>
                <w:szCs w:val="13"/>
                <w:color w:val="auto"/>
                <w:w w:val="95"/>
              </w:rPr>
              <w:t>11/22/2031</w:t>
            </w:r>
          </w:p>
        </w:tc>
        <w:tc>
          <w:tcPr>
            <w:tcW w:w="118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1280" w:type="dxa"/>
            <w:vAlign w:val="bottom"/>
            <w:shd w:val="clear" w:color="auto" w:fill="F1F2F2"/>
          </w:tcPr>
          <w:p>
            <w:pPr>
              <w:jc w:val="right"/>
              <w:ind w:right="1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3"/>
        </w:trPr>
        <w:tc>
          <w:tcPr>
            <w:tcW w:w="1740" w:type="dxa"/>
            <w:vAlign w:val="bottom"/>
            <w:shd w:val="clear" w:color="auto" w:fill="F1F2F2"/>
          </w:tcPr>
          <w:p>
            <w:pPr>
              <w:spacing w:after="0"/>
              <w:rPr>
                <w:sz w:val="18"/>
                <w:szCs w:val="18"/>
                <w:color w:val="auto"/>
              </w:rPr>
            </w:pPr>
          </w:p>
        </w:tc>
        <w:tc>
          <w:tcPr>
            <w:tcW w:w="1080" w:type="dxa"/>
            <w:vAlign w:val="bottom"/>
            <w:shd w:val="clear" w:color="auto" w:fill="F1F2F2"/>
          </w:tcPr>
          <w:p>
            <w:pPr>
              <w:jc w:val="center"/>
              <w:spacing w:after="0"/>
              <w:rPr>
                <w:sz w:val="20"/>
                <w:szCs w:val="20"/>
                <w:color w:val="auto"/>
              </w:rPr>
            </w:pPr>
            <w:r>
              <w:rPr>
                <w:rFonts w:ascii="Arial" w:cs="Arial" w:eastAsia="Arial" w:hAnsi="Arial"/>
                <w:sz w:val="13"/>
                <w:szCs w:val="13"/>
                <w:color w:val="auto"/>
                <w:w w:val="98"/>
              </w:rPr>
              <w:t>12/26/2022</w:t>
            </w:r>
          </w:p>
        </w:tc>
        <w:tc>
          <w:tcPr>
            <w:tcW w:w="1220" w:type="dxa"/>
            <w:vAlign w:val="bottom"/>
            <w:shd w:val="clear" w:color="auto" w:fill="F1F2F2"/>
          </w:tcPr>
          <w:p>
            <w:pPr>
              <w:jc w:val="right"/>
              <w:spacing w:after="0"/>
              <w:rPr>
                <w:sz w:val="20"/>
                <w:szCs w:val="20"/>
                <w:color w:val="auto"/>
              </w:rPr>
            </w:pPr>
            <w:r>
              <w:rPr>
                <w:rFonts w:ascii="Arial" w:cs="Arial" w:eastAsia="Arial" w:hAnsi="Arial"/>
                <w:sz w:val="13"/>
                <w:szCs w:val="13"/>
                <w:color w:val="auto"/>
              </w:rPr>
              <w:t>9,000</w:t>
            </w:r>
          </w:p>
        </w:tc>
        <w:tc>
          <w:tcPr>
            <w:tcW w:w="124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140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F1F2F2"/>
          </w:tcPr>
          <w:p>
            <w:pPr>
              <w:jc w:val="right"/>
              <w:spacing w:after="0"/>
              <w:rPr>
                <w:sz w:val="20"/>
                <w:szCs w:val="20"/>
                <w:color w:val="auto"/>
              </w:rPr>
            </w:pPr>
            <w:r>
              <w:rPr>
                <w:rFonts w:ascii="Arial" w:cs="Arial" w:eastAsia="Arial" w:hAnsi="Arial"/>
                <w:sz w:val="13"/>
                <w:szCs w:val="13"/>
                <w:color w:val="auto"/>
              </w:rPr>
              <w:t>32.30</w:t>
            </w:r>
          </w:p>
        </w:tc>
        <w:tc>
          <w:tcPr>
            <w:tcW w:w="1100" w:type="dxa"/>
            <w:vAlign w:val="bottom"/>
            <w:tcBorders>
              <w:right w:val="single" w:sz="8" w:color="F1F2F2"/>
            </w:tcBorders>
            <w:shd w:val="clear" w:color="auto" w:fill="F1F2F2"/>
          </w:tcPr>
          <w:p>
            <w:pPr>
              <w:jc w:val="center"/>
              <w:spacing w:after="0"/>
              <w:rPr>
                <w:sz w:val="20"/>
                <w:szCs w:val="20"/>
                <w:color w:val="auto"/>
              </w:rPr>
            </w:pPr>
            <w:r>
              <w:rPr>
                <w:rFonts w:ascii="Arial" w:cs="Arial" w:eastAsia="Arial" w:hAnsi="Arial"/>
                <w:sz w:val="13"/>
                <w:szCs w:val="13"/>
                <w:color w:val="auto"/>
                <w:w w:val="95"/>
              </w:rPr>
              <w:t>12/26/2030</w:t>
            </w:r>
          </w:p>
        </w:tc>
        <w:tc>
          <w:tcPr>
            <w:tcW w:w="118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1280" w:type="dxa"/>
            <w:vAlign w:val="bottom"/>
            <w:shd w:val="clear" w:color="auto" w:fill="F1F2F2"/>
          </w:tcPr>
          <w:p>
            <w:pPr>
              <w:jc w:val="right"/>
              <w:ind w:right="1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0"/>
        </w:trPr>
        <w:tc>
          <w:tcPr>
            <w:tcW w:w="1740" w:type="dxa"/>
            <w:vAlign w:val="bottom"/>
            <w:shd w:val="clear" w:color="auto" w:fill="F1F2F2"/>
          </w:tcPr>
          <w:p>
            <w:pPr>
              <w:spacing w:after="0"/>
              <w:rPr>
                <w:sz w:val="23"/>
                <w:szCs w:val="23"/>
                <w:color w:val="auto"/>
              </w:rPr>
            </w:pPr>
          </w:p>
        </w:tc>
        <w:tc>
          <w:tcPr>
            <w:tcW w:w="1080" w:type="dxa"/>
            <w:vAlign w:val="bottom"/>
            <w:shd w:val="clear" w:color="auto" w:fill="F1F2F2"/>
          </w:tcPr>
          <w:p>
            <w:pPr>
              <w:jc w:val="center"/>
              <w:spacing w:after="0"/>
              <w:rPr>
                <w:sz w:val="20"/>
                <w:szCs w:val="20"/>
                <w:color w:val="auto"/>
              </w:rPr>
            </w:pPr>
            <w:r>
              <w:rPr>
                <w:rFonts w:ascii="Arial" w:cs="Arial" w:eastAsia="Arial" w:hAnsi="Arial"/>
                <w:sz w:val="13"/>
                <w:szCs w:val="13"/>
                <w:color w:val="auto"/>
                <w:w w:val="96"/>
              </w:rPr>
              <w:t>10/7/2021</w:t>
            </w:r>
          </w:p>
        </w:tc>
        <w:tc>
          <w:tcPr>
            <w:tcW w:w="1220" w:type="dxa"/>
            <w:vAlign w:val="bottom"/>
            <w:shd w:val="clear" w:color="auto" w:fill="F1F2F2"/>
          </w:tcPr>
          <w:p>
            <w:pPr>
              <w:jc w:val="right"/>
              <w:spacing w:after="0"/>
              <w:rPr>
                <w:sz w:val="20"/>
                <w:szCs w:val="20"/>
                <w:color w:val="auto"/>
              </w:rPr>
            </w:pPr>
            <w:r>
              <w:rPr>
                <w:rFonts w:ascii="Arial" w:cs="Arial" w:eastAsia="Arial" w:hAnsi="Arial"/>
                <w:sz w:val="13"/>
                <w:szCs w:val="13"/>
                <w:color w:val="auto"/>
              </w:rPr>
              <w:t>10,140</w:t>
            </w:r>
          </w:p>
        </w:tc>
        <w:tc>
          <w:tcPr>
            <w:tcW w:w="124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140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F1F2F2"/>
          </w:tcPr>
          <w:p>
            <w:pPr>
              <w:jc w:val="right"/>
              <w:spacing w:after="0"/>
              <w:rPr>
                <w:sz w:val="20"/>
                <w:szCs w:val="20"/>
                <w:color w:val="auto"/>
              </w:rPr>
            </w:pPr>
            <w:r>
              <w:rPr>
                <w:rFonts w:ascii="Arial" w:cs="Arial" w:eastAsia="Arial" w:hAnsi="Arial"/>
                <w:sz w:val="13"/>
                <w:szCs w:val="13"/>
                <w:color w:val="auto"/>
              </w:rPr>
              <w:t>13.04</w:t>
            </w:r>
          </w:p>
        </w:tc>
        <w:tc>
          <w:tcPr>
            <w:tcW w:w="1100" w:type="dxa"/>
            <w:vAlign w:val="bottom"/>
            <w:tcBorders>
              <w:right w:val="single" w:sz="8" w:color="F1F2F2"/>
            </w:tcBorders>
            <w:shd w:val="clear" w:color="auto" w:fill="F1F2F2"/>
          </w:tcPr>
          <w:p>
            <w:pPr>
              <w:jc w:val="center"/>
              <w:spacing w:after="0"/>
              <w:rPr>
                <w:sz w:val="20"/>
                <w:szCs w:val="20"/>
                <w:color w:val="auto"/>
              </w:rPr>
            </w:pPr>
            <w:r>
              <w:rPr>
                <w:rFonts w:ascii="Arial" w:cs="Arial" w:eastAsia="Arial" w:hAnsi="Arial"/>
                <w:sz w:val="13"/>
                <w:szCs w:val="13"/>
                <w:color w:val="auto"/>
                <w:w w:val="96"/>
              </w:rPr>
              <w:t>10/7/2029</w:t>
            </w:r>
          </w:p>
        </w:tc>
        <w:tc>
          <w:tcPr>
            <w:tcW w:w="118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1280" w:type="dxa"/>
            <w:vAlign w:val="bottom"/>
            <w:shd w:val="clear" w:color="auto" w:fill="F1F2F2"/>
          </w:tcPr>
          <w:p>
            <w:pPr>
              <w:jc w:val="right"/>
              <w:ind w:right="1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0"/>
        </w:trPr>
        <w:tc>
          <w:tcPr>
            <w:tcW w:w="1740" w:type="dxa"/>
            <w:vAlign w:val="bottom"/>
            <w:shd w:val="clear" w:color="auto" w:fill="F1F2F2"/>
          </w:tcPr>
          <w:p>
            <w:pPr>
              <w:spacing w:after="0"/>
              <w:rPr>
                <w:sz w:val="23"/>
                <w:szCs w:val="23"/>
                <w:color w:val="auto"/>
              </w:rPr>
            </w:pPr>
          </w:p>
        </w:tc>
        <w:tc>
          <w:tcPr>
            <w:tcW w:w="1080" w:type="dxa"/>
            <w:vAlign w:val="bottom"/>
            <w:shd w:val="clear" w:color="auto" w:fill="F1F2F2"/>
          </w:tcPr>
          <w:p>
            <w:pPr>
              <w:jc w:val="center"/>
              <w:spacing w:after="0"/>
              <w:rPr>
                <w:sz w:val="20"/>
                <w:szCs w:val="20"/>
                <w:color w:val="auto"/>
              </w:rPr>
            </w:pPr>
            <w:r>
              <w:rPr>
                <w:rFonts w:ascii="Arial" w:cs="Arial" w:eastAsia="Arial" w:hAnsi="Arial"/>
                <w:sz w:val="13"/>
                <w:szCs w:val="13"/>
                <w:color w:val="auto"/>
                <w:w w:val="95"/>
              </w:rPr>
              <w:t>11/23/2020</w:t>
            </w:r>
          </w:p>
        </w:tc>
        <w:tc>
          <w:tcPr>
            <w:tcW w:w="1220" w:type="dxa"/>
            <w:vAlign w:val="bottom"/>
            <w:shd w:val="clear" w:color="auto" w:fill="F1F2F2"/>
          </w:tcPr>
          <w:p>
            <w:pPr>
              <w:jc w:val="right"/>
              <w:spacing w:after="0"/>
              <w:rPr>
                <w:sz w:val="20"/>
                <w:szCs w:val="20"/>
                <w:color w:val="auto"/>
              </w:rPr>
            </w:pPr>
            <w:r>
              <w:rPr>
                <w:rFonts w:ascii="Arial" w:cs="Arial" w:eastAsia="Arial" w:hAnsi="Arial"/>
                <w:sz w:val="13"/>
                <w:szCs w:val="13"/>
                <w:color w:val="auto"/>
              </w:rPr>
              <w:t>37,920</w:t>
            </w:r>
          </w:p>
        </w:tc>
        <w:tc>
          <w:tcPr>
            <w:tcW w:w="124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140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F1F2F2"/>
          </w:tcPr>
          <w:p>
            <w:pPr>
              <w:jc w:val="right"/>
              <w:spacing w:after="0"/>
              <w:rPr>
                <w:sz w:val="20"/>
                <w:szCs w:val="20"/>
                <w:color w:val="auto"/>
              </w:rPr>
            </w:pPr>
            <w:r>
              <w:rPr>
                <w:rFonts w:ascii="Arial" w:cs="Arial" w:eastAsia="Arial" w:hAnsi="Arial"/>
                <w:sz w:val="13"/>
                <w:szCs w:val="13"/>
                <w:color w:val="auto"/>
              </w:rPr>
              <w:t>11.04</w:t>
            </w:r>
          </w:p>
        </w:tc>
        <w:tc>
          <w:tcPr>
            <w:tcW w:w="1100" w:type="dxa"/>
            <w:vAlign w:val="bottom"/>
            <w:tcBorders>
              <w:right w:val="single" w:sz="8" w:color="F1F2F2"/>
            </w:tcBorders>
            <w:shd w:val="clear" w:color="auto" w:fill="F1F2F2"/>
          </w:tcPr>
          <w:p>
            <w:pPr>
              <w:jc w:val="center"/>
              <w:spacing w:after="0"/>
              <w:rPr>
                <w:sz w:val="20"/>
                <w:szCs w:val="20"/>
                <w:color w:val="auto"/>
              </w:rPr>
            </w:pPr>
            <w:r>
              <w:rPr>
                <w:rFonts w:ascii="Arial" w:cs="Arial" w:eastAsia="Arial" w:hAnsi="Arial"/>
                <w:sz w:val="13"/>
                <w:szCs w:val="13"/>
                <w:color w:val="auto"/>
                <w:w w:val="95"/>
              </w:rPr>
              <w:t>11/23/2028</w:t>
            </w:r>
          </w:p>
        </w:tc>
        <w:tc>
          <w:tcPr>
            <w:tcW w:w="118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1280" w:type="dxa"/>
            <w:vAlign w:val="bottom"/>
            <w:shd w:val="clear" w:color="auto" w:fill="F1F2F2"/>
          </w:tcPr>
          <w:p>
            <w:pPr>
              <w:jc w:val="right"/>
              <w:ind w:right="1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68"/>
        </w:trPr>
        <w:tc>
          <w:tcPr>
            <w:tcW w:w="1740" w:type="dxa"/>
            <w:vAlign w:val="bottom"/>
            <w:shd w:val="clear" w:color="auto" w:fill="F1F2F2"/>
          </w:tcPr>
          <w:p>
            <w:pPr>
              <w:spacing w:after="0"/>
              <w:rPr>
                <w:sz w:val="5"/>
                <w:szCs w:val="5"/>
                <w:color w:val="auto"/>
              </w:rPr>
            </w:pPr>
          </w:p>
        </w:tc>
        <w:tc>
          <w:tcPr>
            <w:tcW w:w="1080" w:type="dxa"/>
            <w:vAlign w:val="bottom"/>
            <w:shd w:val="clear" w:color="auto" w:fill="F1F2F2"/>
          </w:tcPr>
          <w:p>
            <w:pPr>
              <w:spacing w:after="0"/>
              <w:rPr>
                <w:sz w:val="5"/>
                <w:szCs w:val="5"/>
                <w:color w:val="auto"/>
              </w:rPr>
            </w:pPr>
          </w:p>
        </w:tc>
        <w:tc>
          <w:tcPr>
            <w:tcW w:w="1220" w:type="dxa"/>
            <w:vAlign w:val="bottom"/>
            <w:shd w:val="clear" w:color="auto" w:fill="F1F2F2"/>
          </w:tcPr>
          <w:p>
            <w:pPr>
              <w:spacing w:after="0"/>
              <w:rPr>
                <w:sz w:val="5"/>
                <w:szCs w:val="5"/>
                <w:color w:val="auto"/>
              </w:rPr>
            </w:pPr>
          </w:p>
        </w:tc>
        <w:tc>
          <w:tcPr>
            <w:tcW w:w="1240" w:type="dxa"/>
            <w:vAlign w:val="bottom"/>
            <w:shd w:val="clear" w:color="auto" w:fill="F1F2F2"/>
          </w:tcPr>
          <w:p>
            <w:pPr>
              <w:spacing w:after="0"/>
              <w:rPr>
                <w:sz w:val="5"/>
                <w:szCs w:val="5"/>
                <w:color w:val="auto"/>
              </w:rPr>
            </w:pPr>
          </w:p>
        </w:tc>
        <w:tc>
          <w:tcPr>
            <w:tcW w:w="1400" w:type="dxa"/>
            <w:vAlign w:val="bottom"/>
            <w:shd w:val="clear" w:color="auto" w:fill="F1F2F2"/>
          </w:tcPr>
          <w:p>
            <w:pPr>
              <w:spacing w:after="0"/>
              <w:rPr>
                <w:sz w:val="5"/>
                <w:szCs w:val="5"/>
                <w:color w:val="auto"/>
              </w:rPr>
            </w:pPr>
          </w:p>
        </w:tc>
        <w:tc>
          <w:tcPr>
            <w:tcW w:w="1000" w:type="dxa"/>
            <w:vAlign w:val="bottom"/>
            <w:shd w:val="clear" w:color="auto" w:fill="F1F2F2"/>
          </w:tcPr>
          <w:p>
            <w:pPr>
              <w:spacing w:after="0"/>
              <w:rPr>
                <w:sz w:val="5"/>
                <w:szCs w:val="5"/>
                <w:color w:val="auto"/>
              </w:rPr>
            </w:pPr>
          </w:p>
        </w:tc>
        <w:tc>
          <w:tcPr>
            <w:tcW w:w="1100" w:type="dxa"/>
            <w:vAlign w:val="bottom"/>
            <w:tcBorders>
              <w:right w:val="single" w:sz="8" w:color="F1F2F2"/>
            </w:tcBorders>
            <w:shd w:val="clear" w:color="auto" w:fill="F1F2F2"/>
          </w:tcPr>
          <w:p>
            <w:pPr>
              <w:spacing w:after="0"/>
              <w:rPr>
                <w:sz w:val="5"/>
                <w:szCs w:val="5"/>
                <w:color w:val="auto"/>
              </w:rPr>
            </w:pPr>
          </w:p>
        </w:tc>
        <w:tc>
          <w:tcPr>
            <w:tcW w:w="1180" w:type="dxa"/>
            <w:vAlign w:val="bottom"/>
            <w:shd w:val="clear" w:color="auto" w:fill="F1F2F2"/>
          </w:tcPr>
          <w:p>
            <w:pPr>
              <w:spacing w:after="0"/>
              <w:rPr>
                <w:sz w:val="5"/>
                <w:szCs w:val="5"/>
                <w:color w:val="auto"/>
              </w:rPr>
            </w:pPr>
          </w:p>
        </w:tc>
        <w:tc>
          <w:tcPr>
            <w:tcW w:w="1280" w:type="dxa"/>
            <w:vAlign w:val="bottom"/>
            <w:shd w:val="clear" w:color="auto" w:fill="F1F2F2"/>
          </w:tcPr>
          <w:p>
            <w:pPr>
              <w:spacing w:after="0"/>
              <w:rPr>
                <w:sz w:val="5"/>
                <w:szCs w:val="5"/>
                <w:color w:val="auto"/>
              </w:rPr>
            </w:pPr>
          </w:p>
        </w:tc>
        <w:tc>
          <w:tcPr>
            <w:tcW w:w="0" w:type="dxa"/>
            <w:vAlign w:val="bottom"/>
          </w:tcPr>
          <w:p>
            <w:pPr>
              <w:spacing w:after="0"/>
              <w:rPr>
                <w:sz w:val="1"/>
                <w:szCs w:val="1"/>
                <w:color w:val="auto"/>
              </w:rPr>
            </w:pPr>
          </w:p>
        </w:tc>
      </w:tr>
      <w:tr>
        <w:trPr>
          <w:trHeight w:val="259"/>
        </w:trPr>
        <w:tc>
          <w:tcPr>
            <w:tcW w:w="1740" w:type="dxa"/>
            <w:vAlign w:val="bottom"/>
          </w:tcPr>
          <w:p>
            <w:pPr>
              <w:spacing w:after="0"/>
              <w:rPr>
                <w:sz w:val="22"/>
                <w:szCs w:val="22"/>
                <w:color w:val="auto"/>
              </w:rPr>
            </w:pPr>
          </w:p>
        </w:tc>
        <w:tc>
          <w:tcPr>
            <w:tcW w:w="1080" w:type="dxa"/>
            <w:vAlign w:val="bottom"/>
          </w:tcPr>
          <w:p>
            <w:pPr>
              <w:jc w:val="center"/>
              <w:spacing w:after="0"/>
              <w:rPr>
                <w:sz w:val="20"/>
                <w:szCs w:val="20"/>
                <w:color w:val="auto"/>
              </w:rPr>
            </w:pPr>
            <w:r>
              <w:rPr>
                <w:rFonts w:ascii="Arial" w:cs="Arial" w:eastAsia="Arial" w:hAnsi="Arial"/>
                <w:sz w:val="13"/>
                <w:szCs w:val="13"/>
                <w:color w:val="auto"/>
                <w:w w:val="94"/>
              </w:rPr>
              <w:t>4/3/2025</w:t>
            </w:r>
          </w:p>
        </w:tc>
        <w:tc>
          <w:tcPr>
            <w:tcW w:w="1220" w:type="dxa"/>
            <w:vAlign w:val="bottom"/>
          </w:tcPr>
          <w:p>
            <w:pPr>
              <w:jc w:val="right"/>
              <w:spacing w:after="0"/>
              <w:rPr>
                <w:sz w:val="20"/>
                <w:szCs w:val="20"/>
                <w:color w:val="auto"/>
              </w:rPr>
            </w:pPr>
            <w:r>
              <w:rPr>
                <w:rFonts w:ascii="Arial" w:cs="Arial" w:eastAsia="Arial" w:hAnsi="Arial"/>
                <w:sz w:val="13"/>
                <w:szCs w:val="13"/>
                <w:color w:val="auto"/>
              </w:rPr>
              <w:t>—</w:t>
            </w:r>
          </w:p>
        </w:tc>
        <w:tc>
          <w:tcPr>
            <w:tcW w:w="1240" w:type="dxa"/>
            <w:vAlign w:val="bottom"/>
          </w:tcPr>
          <w:p>
            <w:pPr>
              <w:jc w:val="right"/>
              <w:spacing w:after="0"/>
              <w:rPr>
                <w:sz w:val="20"/>
                <w:szCs w:val="20"/>
                <w:color w:val="auto"/>
              </w:rPr>
            </w:pPr>
            <w:r>
              <w:rPr>
                <w:rFonts w:ascii="Arial" w:cs="Arial" w:eastAsia="Arial" w:hAnsi="Arial"/>
                <w:sz w:val="13"/>
                <w:szCs w:val="13"/>
                <w:color w:val="auto"/>
              </w:rPr>
              <w:t>—</w:t>
            </w:r>
          </w:p>
        </w:tc>
        <w:tc>
          <w:tcPr>
            <w:tcW w:w="140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11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6,400</w:t>
            </w:r>
            <w:r>
              <w:rPr>
                <w:rFonts w:ascii="Arial" w:cs="Arial" w:eastAsia="Arial" w:hAnsi="Arial"/>
                <w:sz w:val="16"/>
                <w:szCs w:val="16"/>
                <w:color w:val="auto"/>
                <w:vertAlign w:val="superscript"/>
              </w:rPr>
              <w:t>(9)</w:t>
            </w:r>
          </w:p>
        </w:tc>
        <w:tc>
          <w:tcPr>
            <w:tcW w:w="1280" w:type="dxa"/>
            <w:vAlign w:val="bottom"/>
          </w:tcPr>
          <w:p>
            <w:pPr>
              <w:jc w:val="right"/>
              <w:ind w:right="157"/>
              <w:spacing w:after="0"/>
              <w:rPr>
                <w:sz w:val="20"/>
                <w:szCs w:val="20"/>
                <w:color w:val="auto"/>
              </w:rPr>
            </w:pPr>
            <w:r>
              <w:rPr>
                <w:rFonts w:ascii="Arial" w:cs="Arial" w:eastAsia="Arial" w:hAnsi="Arial"/>
                <w:sz w:val="13"/>
                <w:szCs w:val="13"/>
                <w:color w:val="auto"/>
              </w:rPr>
              <w:t>83,392</w:t>
            </w:r>
          </w:p>
        </w:tc>
        <w:tc>
          <w:tcPr>
            <w:tcW w:w="0" w:type="dxa"/>
            <w:vAlign w:val="bottom"/>
          </w:tcPr>
          <w:p>
            <w:pPr>
              <w:spacing w:after="0"/>
              <w:rPr>
                <w:sz w:val="1"/>
                <w:szCs w:val="1"/>
                <w:color w:val="auto"/>
              </w:rPr>
            </w:pPr>
          </w:p>
        </w:tc>
      </w:tr>
      <w:tr>
        <w:trPr>
          <w:trHeight w:val="270"/>
        </w:trPr>
        <w:tc>
          <w:tcPr>
            <w:tcW w:w="1740" w:type="dxa"/>
            <w:vAlign w:val="bottom"/>
          </w:tcPr>
          <w:p>
            <w:pPr>
              <w:spacing w:after="0"/>
              <w:rPr>
                <w:sz w:val="23"/>
                <w:szCs w:val="23"/>
                <w:color w:val="auto"/>
              </w:rPr>
            </w:pPr>
          </w:p>
        </w:tc>
        <w:tc>
          <w:tcPr>
            <w:tcW w:w="1080" w:type="dxa"/>
            <w:vAlign w:val="bottom"/>
          </w:tcPr>
          <w:p>
            <w:pPr>
              <w:jc w:val="center"/>
              <w:spacing w:after="0"/>
              <w:rPr>
                <w:sz w:val="20"/>
                <w:szCs w:val="20"/>
                <w:color w:val="auto"/>
              </w:rPr>
            </w:pPr>
            <w:r>
              <w:rPr>
                <w:rFonts w:ascii="Arial" w:cs="Arial" w:eastAsia="Arial" w:hAnsi="Arial"/>
                <w:sz w:val="13"/>
                <w:szCs w:val="13"/>
                <w:color w:val="auto"/>
                <w:w w:val="94"/>
              </w:rPr>
              <w:t>3/7/2025</w:t>
            </w:r>
          </w:p>
        </w:tc>
        <w:tc>
          <w:tcPr>
            <w:tcW w:w="1220" w:type="dxa"/>
            <w:vAlign w:val="bottom"/>
          </w:tcPr>
          <w:p>
            <w:pPr>
              <w:jc w:val="right"/>
              <w:spacing w:after="0"/>
              <w:rPr>
                <w:sz w:val="20"/>
                <w:szCs w:val="20"/>
                <w:color w:val="auto"/>
              </w:rPr>
            </w:pPr>
            <w:r>
              <w:rPr>
                <w:rFonts w:ascii="Arial" w:cs="Arial" w:eastAsia="Arial" w:hAnsi="Arial"/>
                <w:sz w:val="13"/>
                <w:szCs w:val="13"/>
                <w:color w:val="auto"/>
              </w:rPr>
              <w:t>—</w:t>
            </w:r>
          </w:p>
        </w:tc>
        <w:tc>
          <w:tcPr>
            <w:tcW w:w="1240" w:type="dxa"/>
            <w:vAlign w:val="bottom"/>
          </w:tcPr>
          <w:p>
            <w:pPr>
              <w:jc w:val="right"/>
              <w:spacing w:after="0"/>
              <w:rPr>
                <w:sz w:val="20"/>
                <w:szCs w:val="20"/>
                <w:color w:val="auto"/>
              </w:rPr>
            </w:pPr>
            <w:r>
              <w:rPr>
                <w:rFonts w:ascii="Arial" w:cs="Arial" w:eastAsia="Arial" w:hAnsi="Arial"/>
                <w:sz w:val="13"/>
                <w:szCs w:val="13"/>
                <w:color w:val="auto"/>
              </w:rPr>
              <w:t>—</w:t>
            </w:r>
          </w:p>
        </w:tc>
        <w:tc>
          <w:tcPr>
            <w:tcW w:w="140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11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12,770</w:t>
            </w:r>
            <w:r>
              <w:rPr>
                <w:rFonts w:ascii="Arial" w:cs="Arial" w:eastAsia="Arial" w:hAnsi="Arial"/>
                <w:sz w:val="16"/>
                <w:szCs w:val="16"/>
                <w:color w:val="auto"/>
                <w:vertAlign w:val="superscript"/>
              </w:rPr>
              <w:t>(5)</w:t>
            </w:r>
          </w:p>
        </w:tc>
        <w:tc>
          <w:tcPr>
            <w:tcW w:w="1280" w:type="dxa"/>
            <w:vAlign w:val="bottom"/>
          </w:tcPr>
          <w:p>
            <w:pPr>
              <w:jc w:val="right"/>
              <w:ind w:right="157"/>
              <w:spacing w:after="0"/>
              <w:rPr>
                <w:sz w:val="20"/>
                <w:szCs w:val="20"/>
                <w:color w:val="auto"/>
              </w:rPr>
            </w:pPr>
            <w:r>
              <w:rPr>
                <w:rFonts w:ascii="Arial" w:cs="Arial" w:eastAsia="Arial" w:hAnsi="Arial"/>
                <w:sz w:val="13"/>
                <w:szCs w:val="13"/>
                <w:color w:val="auto"/>
              </w:rPr>
              <w:t>166,393</w:t>
            </w:r>
          </w:p>
        </w:tc>
        <w:tc>
          <w:tcPr>
            <w:tcW w:w="0" w:type="dxa"/>
            <w:vAlign w:val="bottom"/>
          </w:tcPr>
          <w:p>
            <w:pPr>
              <w:spacing w:after="0"/>
              <w:rPr>
                <w:sz w:val="1"/>
                <w:szCs w:val="1"/>
                <w:color w:val="auto"/>
              </w:rPr>
            </w:pPr>
          </w:p>
        </w:tc>
      </w:tr>
      <w:tr>
        <w:trPr>
          <w:trHeight w:val="270"/>
        </w:trPr>
        <w:tc>
          <w:tcPr>
            <w:tcW w:w="1740" w:type="dxa"/>
            <w:vAlign w:val="bottom"/>
          </w:tcPr>
          <w:p>
            <w:pPr>
              <w:spacing w:after="0"/>
              <w:rPr>
                <w:sz w:val="23"/>
                <w:szCs w:val="23"/>
                <w:color w:val="auto"/>
              </w:rPr>
            </w:pPr>
          </w:p>
        </w:tc>
        <w:tc>
          <w:tcPr>
            <w:tcW w:w="1080" w:type="dxa"/>
            <w:vAlign w:val="bottom"/>
          </w:tcPr>
          <w:p>
            <w:pPr>
              <w:jc w:val="center"/>
              <w:spacing w:after="0"/>
              <w:rPr>
                <w:sz w:val="20"/>
                <w:szCs w:val="20"/>
                <w:color w:val="auto"/>
              </w:rPr>
            </w:pPr>
            <w:r>
              <w:rPr>
                <w:rFonts w:ascii="Arial" w:cs="Arial" w:eastAsia="Arial" w:hAnsi="Arial"/>
                <w:sz w:val="13"/>
                <w:szCs w:val="13"/>
                <w:color w:val="auto"/>
                <w:w w:val="96"/>
              </w:rPr>
              <w:t>5/28/2024</w:t>
            </w:r>
          </w:p>
        </w:tc>
        <w:tc>
          <w:tcPr>
            <w:tcW w:w="1220" w:type="dxa"/>
            <w:vAlign w:val="bottom"/>
          </w:tcPr>
          <w:p>
            <w:pPr>
              <w:jc w:val="right"/>
              <w:spacing w:after="0"/>
              <w:rPr>
                <w:sz w:val="20"/>
                <w:szCs w:val="20"/>
                <w:color w:val="auto"/>
              </w:rPr>
            </w:pPr>
            <w:r>
              <w:rPr>
                <w:rFonts w:ascii="Arial" w:cs="Arial" w:eastAsia="Arial" w:hAnsi="Arial"/>
                <w:sz w:val="13"/>
                <w:szCs w:val="13"/>
                <w:color w:val="auto"/>
              </w:rPr>
              <w:t>—</w:t>
            </w:r>
          </w:p>
        </w:tc>
        <w:tc>
          <w:tcPr>
            <w:tcW w:w="1240" w:type="dxa"/>
            <w:vAlign w:val="bottom"/>
          </w:tcPr>
          <w:p>
            <w:pPr>
              <w:jc w:val="right"/>
              <w:spacing w:after="0"/>
              <w:rPr>
                <w:sz w:val="20"/>
                <w:szCs w:val="20"/>
                <w:color w:val="auto"/>
              </w:rPr>
            </w:pPr>
            <w:r>
              <w:rPr>
                <w:rFonts w:ascii="Arial" w:cs="Arial" w:eastAsia="Arial" w:hAnsi="Arial"/>
                <w:sz w:val="13"/>
                <w:szCs w:val="13"/>
                <w:color w:val="auto"/>
              </w:rPr>
              <w:t>—</w:t>
            </w:r>
          </w:p>
        </w:tc>
        <w:tc>
          <w:tcPr>
            <w:tcW w:w="140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11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72,177</w:t>
            </w:r>
            <w:r>
              <w:rPr>
                <w:rFonts w:ascii="Arial" w:cs="Arial" w:eastAsia="Arial" w:hAnsi="Arial"/>
                <w:sz w:val="16"/>
                <w:szCs w:val="16"/>
                <w:color w:val="auto"/>
                <w:vertAlign w:val="superscript"/>
              </w:rPr>
              <w:t>(6)</w:t>
            </w:r>
          </w:p>
        </w:tc>
        <w:tc>
          <w:tcPr>
            <w:tcW w:w="1280" w:type="dxa"/>
            <w:vAlign w:val="bottom"/>
          </w:tcPr>
          <w:p>
            <w:pPr>
              <w:jc w:val="right"/>
              <w:ind w:right="157"/>
              <w:spacing w:after="0"/>
              <w:rPr>
                <w:sz w:val="20"/>
                <w:szCs w:val="20"/>
                <w:color w:val="auto"/>
              </w:rPr>
            </w:pPr>
            <w:r>
              <w:rPr>
                <w:rFonts w:ascii="Arial" w:cs="Arial" w:eastAsia="Arial" w:hAnsi="Arial"/>
                <w:sz w:val="13"/>
                <w:szCs w:val="13"/>
                <w:color w:val="auto"/>
              </w:rPr>
              <w:t>940,466</w:t>
            </w:r>
          </w:p>
        </w:tc>
        <w:tc>
          <w:tcPr>
            <w:tcW w:w="0" w:type="dxa"/>
            <w:vAlign w:val="bottom"/>
          </w:tcPr>
          <w:p>
            <w:pPr>
              <w:spacing w:after="0"/>
              <w:rPr>
                <w:sz w:val="1"/>
                <w:szCs w:val="1"/>
                <w:color w:val="auto"/>
              </w:rPr>
            </w:pPr>
          </w:p>
        </w:tc>
      </w:tr>
      <w:tr>
        <w:trPr>
          <w:trHeight w:val="270"/>
        </w:trPr>
        <w:tc>
          <w:tcPr>
            <w:tcW w:w="1740" w:type="dxa"/>
            <w:vAlign w:val="bottom"/>
          </w:tcPr>
          <w:p>
            <w:pPr>
              <w:ind w:left="100"/>
              <w:spacing w:after="0"/>
              <w:rPr>
                <w:sz w:val="20"/>
                <w:szCs w:val="20"/>
                <w:color w:val="auto"/>
              </w:rPr>
            </w:pPr>
            <w:r>
              <w:rPr>
                <w:rFonts w:ascii="Arial" w:cs="Arial" w:eastAsia="Arial" w:hAnsi="Arial"/>
                <w:sz w:val="13"/>
                <w:szCs w:val="13"/>
                <w:b w:val="1"/>
                <w:bCs w:val="1"/>
                <w:color w:val="auto"/>
              </w:rPr>
              <w:t>Yongsoo Kim</w:t>
            </w:r>
          </w:p>
        </w:tc>
        <w:tc>
          <w:tcPr>
            <w:tcW w:w="1080" w:type="dxa"/>
            <w:vAlign w:val="bottom"/>
          </w:tcPr>
          <w:p>
            <w:pPr>
              <w:jc w:val="center"/>
              <w:spacing w:after="0"/>
              <w:rPr>
                <w:sz w:val="20"/>
                <w:szCs w:val="20"/>
                <w:color w:val="auto"/>
              </w:rPr>
            </w:pPr>
            <w:r>
              <w:rPr>
                <w:rFonts w:ascii="Arial" w:cs="Arial" w:eastAsia="Arial" w:hAnsi="Arial"/>
                <w:sz w:val="13"/>
                <w:szCs w:val="13"/>
                <w:color w:val="auto"/>
                <w:w w:val="96"/>
              </w:rPr>
              <w:t>5/10/2024</w:t>
            </w:r>
          </w:p>
        </w:tc>
        <w:tc>
          <w:tcPr>
            <w:tcW w:w="1220" w:type="dxa"/>
            <w:vAlign w:val="bottom"/>
          </w:tcPr>
          <w:p>
            <w:pPr>
              <w:jc w:val="right"/>
              <w:spacing w:after="0"/>
              <w:rPr>
                <w:sz w:val="20"/>
                <w:szCs w:val="20"/>
                <w:color w:val="auto"/>
              </w:rPr>
            </w:pPr>
            <w:r>
              <w:rPr>
                <w:rFonts w:ascii="Arial" w:cs="Arial" w:eastAsia="Arial" w:hAnsi="Arial"/>
                <w:sz w:val="13"/>
                <w:szCs w:val="13"/>
                <w:color w:val="auto"/>
              </w:rPr>
              <w:t>—</w:t>
            </w:r>
          </w:p>
        </w:tc>
        <w:tc>
          <w:tcPr>
            <w:tcW w:w="1240" w:type="dxa"/>
            <w:vAlign w:val="bottom"/>
          </w:tcPr>
          <w:p>
            <w:pPr>
              <w:jc w:val="right"/>
              <w:spacing w:after="0"/>
              <w:rPr>
                <w:sz w:val="20"/>
                <w:szCs w:val="20"/>
                <w:color w:val="auto"/>
              </w:rPr>
            </w:pPr>
            <w:r>
              <w:rPr>
                <w:rFonts w:ascii="Arial" w:cs="Arial" w:eastAsia="Arial" w:hAnsi="Arial"/>
                <w:sz w:val="13"/>
                <w:szCs w:val="13"/>
                <w:color w:val="auto"/>
              </w:rPr>
              <w:t>33,600</w:t>
            </w:r>
            <w:r>
              <w:rPr>
                <w:rFonts w:ascii="Arial" w:cs="Arial" w:eastAsia="Arial" w:hAnsi="Arial"/>
                <w:sz w:val="16"/>
                <w:szCs w:val="16"/>
                <w:color w:val="auto"/>
                <w:vertAlign w:val="superscript"/>
              </w:rPr>
              <w:t>(7)</w:t>
            </w:r>
          </w:p>
        </w:tc>
        <w:tc>
          <w:tcPr>
            <w:tcW w:w="140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22.50</w:t>
            </w:r>
          </w:p>
        </w:tc>
        <w:tc>
          <w:tcPr>
            <w:tcW w:w="1100" w:type="dxa"/>
            <w:vAlign w:val="bottom"/>
          </w:tcPr>
          <w:p>
            <w:pPr>
              <w:jc w:val="center"/>
              <w:spacing w:after="0"/>
              <w:rPr>
                <w:sz w:val="20"/>
                <w:szCs w:val="20"/>
                <w:color w:val="auto"/>
              </w:rPr>
            </w:pPr>
            <w:r>
              <w:rPr>
                <w:rFonts w:ascii="Arial" w:cs="Arial" w:eastAsia="Arial" w:hAnsi="Arial"/>
                <w:sz w:val="13"/>
                <w:szCs w:val="13"/>
                <w:color w:val="auto"/>
                <w:w w:val="96"/>
              </w:rPr>
              <w:t>5/10/2032</w:t>
            </w:r>
          </w:p>
        </w:tc>
        <w:tc>
          <w:tcPr>
            <w:tcW w:w="1180" w:type="dxa"/>
            <w:vAlign w:val="bottom"/>
          </w:tcPr>
          <w:p>
            <w:pPr>
              <w:jc w:val="right"/>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0"/>
        </w:trPr>
        <w:tc>
          <w:tcPr>
            <w:tcW w:w="1740" w:type="dxa"/>
            <w:vAlign w:val="bottom"/>
          </w:tcPr>
          <w:p>
            <w:pPr>
              <w:spacing w:after="0"/>
              <w:rPr>
                <w:sz w:val="23"/>
                <w:szCs w:val="23"/>
                <w:color w:val="auto"/>
              </w:rPr>
            </w:pPr>
          </w:p>
        </w:tc>
        <w:tc>
          <w:tcPr>
            <w:tcW w:w="1080" w:type="dxa"/>
            <w:vAlign w:val="bottom"/>
          </w:tcPr>
          <w:p>
            <w:pPr>
              <w:jc w:val="center"/>
              <w:spacing w:after="0"/>
              <w:rPr>
                <w:sz w:val="20"/>
                <w:szCs w:val="20"/>
                <w:color w:val="auto"/>
              </w:rPr>
            </w:pPr>
            <w:r>
              <w:rPr>
                <w:rFonts w:ascii="Arial" w:cs="Arial" w:eastAsia="Arial" w:hAnsi="Arial"/>
                <w:sz w:val="13"/>
                <w:szCs w:val="13"/>
                <w:color w:val="auto"/>
                <w:w w:val="95"/>
              </w:rPr>
              <w:t>11/22/2023</w:t>
            </w:r>
          </w:p>
        </w:tc>
        <w:tc>
          <w:tcPr>
            <w:tcW w:w="1220" w:type="dxa"/>
            <w:vAlign w:val="bottom"/>
          </w:tcPr>
          <w:p>
            <w:pPr>
              <w:jc w:val="right"/>
              <w:spacing w:after="0"/>
              <w:rPr>
                <w:sz w:val="20"/>
                <w:szCs w:val="20"/>
                <w:color w:val="auto"/>
              </w:rPr>
            </w:pPr>
            <w:r>
              <w:rPr>
                <w:rFonts w:ascii="Arial" w:cs="Arial" w:eastAsia="Arial" w:hAnsi="Arial"/>
                <w:sz w:val="13"/>
                <w:szCs w:val="13"/>
                <w:color w:val="auto"/>
              </w:rPr>
              <w:t>—</w:t>
            </w:r>
          </w:p>
        </w:tc>
        <w:tc>
          <w:tcPr>
            <w:tcW w:w="1240" w:type="dxa"/>
            <w:vAlign w:val="bottom"/>
          </w:tcPr>
          <w:p>
            <w:pPr>
              <w:jc w:val="right"/>
              <w:spacing w:after="0"/>
              <w:rPr>
                <w:sz w:val="20"/>
                <w:szCs w:val="20"/>
                <w:color w:val="auto"/>
              </w:rPr>
            </w:pPr>
            <w:r>
              <w:rPr>
                <w:rFonts w:ascii="Arial" w:cs="Arial" w:eastAsia="Arial" w:hAnsi="Arial"/>
                <w:sz w:val="13"/>
                <w:szCs w:val="13"/>
                <w:color w:val="auto"/>
              </w:rPr>
              <w:t>48,000</w:t>
            </w:r>
            <w:r>
              <w:rPr>
                <w:rFonts w:ascii="Arial" w:cs="Arial" w:eastAsia="Arial" w:hAnsi="Arial"/>
                <w:sz w:val="16"/>
                <w:szCs w:val="16"/>
                <w:color w:val="auto"/>
                <w:vertAlign w:val="superscript"/>
              </w:rPr>
              <w:t>(8)</w:t>
            </w:r>
          </w:p>
        </w:tc>
        <w:tc>
          <w:tcPr>
            <w:tcW w:w="140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20.34</w:t>
            </w:r>
          </w:p>
        </w:tc>
        <w:tc>
          <w:tcPr>
            <w:tcW w:w="1100" w:type="dxa"/>
            <w:vAlign w:val="bottom"/>
          </w:tcPr>
          <w:p>
            <w:pPr>
              <w:jc w:val="center"/>
              <w:spacing w:after="0"/>
              <w:rPr>
                <w:sz w:val="20"/>
                <w:szCs w:val="20"/>
                <w:color w:val="auto"/>
              </w:rPr>
            </w:pPr>
            <w:r>
              <w:rPr>
                <w:rFonts w:ascii="Arial" w:cs="Arial" w:eastAsia="Arial" w:hAnsi="Arial"/>
                <w:sz w:val="13"/>
                <w:szCs w:val="13"/>
                <w:color w:val="auto"/>
                <w:w w:val="95"/>
              </w:rPr>
              <w:t>11/22/2031</w:t>
            </w:r>
          </w:p>
        </w:tc>
        <w:tc>
          <w:tcPr>
            <w:tcW w:w="1180" w:type="dxa"/>
            <w:vAlign w:val="bottom"/>
          </w:tcPr>
          <w:p>
            <w:pPr>
              <w:jc w:val="right"/>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0"/>
        </w:trPr>
        <w:tc>
          <w:tcPr>
            <w:tcW w:w="1740" w:type="dxa"/>
            <w:vAlign w:val="bottom"/>
          </w:tcPr>
          <w:p>
            <w:pPr>
              <w:spacing w:after="0"/>
              <w:rPr>
                <w:sz w:val="23"/>
                <w:szCs w:val="23"/>
                <w:color w:val="auto"/>
              </w:rPr>
            </w:pPr>
          </w:p>
        </w:tc>
        <w:tc>
          <w:tcPr>
            <w:tcW w:w="1080" w:type="dxa"/>
            <w:vAlign w:val="bottom"/>
          </w:tcPr>
          <w:p>
            <w:pPr>
              <w:jc w:val="center"/>
              <w:spacing w:after="0"/>
              <w:rPr>
                <w:sz w:val="20"/>
                <w:szCs w:val="20"/>
                <w:color w:val="auto"/>
              </w:rPr>
            </w:pPr>
            <w:r>
              <w:rPr>
                <w:rFonts w:ascii="Arial" w:cs="Arial" w:eastAsia="Arial" w:hAnsi="Arial"/>
                <w:sz w:val="13"/>
                <w:szCs w:val="13"/>
                <w:color w:val="auto"/>
                <w:w w:val="96"/>
              </w:rPr>
              <w:t>2/28/2023</w:t>
            </w:r>
          </w:p>
        </w:tc>
        <w:tc>
          <w:tcPr>
            <w:tcW w:w="1220" w:type="dxa"/>
            <w:vAlign w:val="bottom"/>
          </w:tcPr>
          <w:p>
            <w:pPr>
              <w:jc w:val="right"/>
              <w:spacing w:after="0"/>
              <w:rPr>
                <w:sz w:val="20"/>
                <w:szCs w:val="20"/>
                <w:color w:val="auto"/>
              </w:rPr>
            </w:pPr>
            <w:r>
              <w:rPr>
                <w:rFonts w:ascii="Arial" w:cs="Arial" w:eastAsia="Arial" w:hAnsi="Arial"/>
                <w:sz w:val="13"/>
                <w:szCs w:val="13"/>
                <w:color w:val="auto"/>
              </w:rPr>
              <w:t>—</w:t>
            </w:r>
          </w:p>
        </w:tc>
        <w:tc>
          <w:tcPr>
            <w:tcW w:w="1240" w:type="dxa"/>
            <w:vAlign w:val="bottom"/>
          </w:tcPr>
          <w:p>
            <w:pPr>
              <w:jc w:val="right"/>
              <w:spacing w:after="0"/>
              <w:rPr>
                <w:sz w:val="20"/>
                <w:szCs w:val="20"/>
                <w:color w:val="auto"/>
              </w:rPr>
            </w:pPr>
            <w:r>
              <w:rPr>
                <w:rFonts w:ascii="Arial" w:cs="Arial" w:eastAsia="Arial" w:hAnsi="Arial"/>
                <w:sz w:val="13"/>
                <w:szCs w:val="13"/>
                <w:color w:val="auto"/>
              </w:rPr>
              <w:t>3,000</w:t>
            </w:r>
            <w:r>
              <w:rPr>
                <w:rFonts w:ascii="Arial" w:cs="Arial" w:eastAsia="Arial" w:hAnsi="Arial"/>
                <w:sz w:val="16"/>
                <w:szCs w:val="16"/>
                <w:color w:val="auto"/>
                <w:vertAlign w:val="superscript"/>
              </w:rPr>
              <w:t>(10)</w:t>
            </w:r>
          </w:p>
        </w:tc>
        <w:tc>
          <w:tcPr>
            <w:tcW w:w="140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32.30</w:t>
            </w:r>
          </w:p>
        </w:tc>
        <w:tc>
          <w:tcPr>
            <w:tcW w:w="1100" w:type="dxa"/>
            <w:vAlign w:val="bottom"/>
          </w:tcPr>
          <w:p>
            <w:pPr>
              <w:jc w:val="center"/>
              <w:spacing w:after="0"/>
              <w:rPr>
                <w:sz w:val="20"/>
                <w:szCs w:val="20"/>
                <w:color w:val="auto"/>
              </w:rPr>
            </w:pPr>
            <w:r>
              <w:rPr>
                <w:rFonts w:ascii="Arial" w:cs="Arial" w:eastAsia="Arial" w:hAnsi="Arial"/>
                <w:sz w:val="13"/>
                <w:szCs w:val="13"/>
                <w:color w:val="auto"/>
                <w:w w:val="96"/>
              </w:rPr>
              <w:t>2/28/2031</w:t>
            </w:r>
          </w:p>
        </w:tc>
        <w:tc>
          <w:tcPr>
            <w:tcW w:w="1180" w:type="dxa"/>
            <w:vAlign w:val="bottom"/>
          </w:tcPr>
          <w:p>
            <w:pPr>
              <w:jc w:val="right"/>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3"/>
        </w:trPr>
        <w:tc>
          <w:tcPr>
            <w:tcW w:w="17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3"/>
                <w:szCs w:val="13"/>
                <w:color w:val="auto"/>
                <w:w w:val="98"/>
              </w:rPr>
              <w:t>12/26/2022</w:t>
            </w:r>
          </w:p>
        </w:tc>
        <w:tc>
          <w:tcPr>
            <w:tcW w:w="1220" w:type="dxa"/>
            <w:vAlign w:val="bottom"/>
          </w:tcPr>
          <w:p>
            <w:pPr>
              <w:jc w:val="right"/>
              <w:spacing w:after="0"/>
              <w:rPr>
                <w:sz w:val="20"/>
                <w:szCs w:val="20"/>
                <w:color w:val="auto"/>
              </w:rPr>
            </w:pPr>
            <w:r>
              <w:rPr>
                <w:rFonts w:ascii="Arial" w:cs="Arial" w:eastAsia="Arial" w:hAnsi="Arial"/>
                <w:sz w:val="13"/>
                <w:szCs w:val="13"/>
                <w:color w:val="auto"/>
              </w:rPr>
              <w:t>12,630</w:t>
            </w:r>
          </w:p>
        </w:tc>
        <w:tc>
          <w:tcPr>
            <w:tcW w:w="1240" w:type="dxa"/>
            <w:vAlign w:val="bottom"/>
          </w:tcPr>
          <w:p>
            <w:pPr>
              <w:jc w:val="right"/>
              <w:spacing w:after="0"/>
              <w:rPr>
                <w:sz w:val="20"/>
                <w:szCs w:val="20"/>
                <w:color w:val="auto"/>
              </w:rPr>
            </w:pPr>
            <w:r>
              <w:rPr>
                <w:rFonts w:ascii="Arial" w:cs="Arial" w:eastAsia="Arial" w:hAnsi="Arial"/>
                <w:sz w:val="13"/>
                <w:szCs w:val="13"/>
                <w:color w:val="auto"/>
              </w:rPr>
              <w:t>—</w:t>
            </w:r>
          </w:p>
        </w:tc>
        <w:tc>
          <w:tcPr>
            <w:tcW w:w="140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32.30</w:t>
            </w:r>
          </w:p>
        </w:tc>
        <w:tc>
          <w:tcPr>
            <w:tcW w:w="1100" w:type="dxa"/>
            <w:vAlign w:val="bottom"/>
          </w:tcPr>
          <w:p>
            <w:pPr>
              <w:jc w:val="center"/>
              <w:spacing w:after="0"/>
              <w:rPr>
                <w:sz w:val="20"/>
                <w:szCs w:val="20"/>
                <w:color w:val="auto"/>
              </w:rPr>
            </w:pPr>
            <w:r>
              <w:rPr>
                <w:rFonts w:ascii="Arial" w:cs="Arial" w:eastAsia="Arial" w:hAnsi="Arial"/>
                <w:sz w:val="13"/>
                <w:szCs w:val="13"/>
                <w:color w:val="auto"/>
                <w:w w:val="95"/>
              </w:rPr>
              <w:t>12/26/2030</w:t>
            </w:r>
          </w:p>
        </w:tc>
        <w:tc>
          <w:tcPr>
            <w:tcW w:w="1180" w:type="dxa"/>
            <w:vAlign w:val="bottom"/>
          </w:tcPr>
          <w:p>
            <w:pPr>
              <w:jc w:val="right"/>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68"/>
        </w:trPr>
        <w:tc>
          <w:tcPr>
            <w:tcW w:w="17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4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9"/>
        </w:trPr>
        <w:tc>
          <w:tcPr>
            <w:tcW w:w="1740" w:type="dxa"/>
            <w:vAlign w:val="bottom"/>
            <w:shd w:val="clear" w:color="auto" w:fill="F1F2F2"/>
          </w:tcPr>
          <w:p>
            <w:pPr>
              <w:spacing w:after="0"/>
              <w:rPr>
                <w:sz w:val="22"/>
                <w:szCs w:val="22"/>
                <w:color w:val="auto"/>
              </w:rPr>
            </w:pPr>
          </w:p>
        </w:tc>
        <w:tc>
          <w:tcPr>
            <w:tcW w:w="1080" w:type="dxa"/>
            <w:vAlign w:val="bottom"/>
            <w:shd w:val="clear" w:color="auto" w:fill="F1F2F2"/>
          </w:tcPr>
          <w:p>
            <w:pPr>
              <w:jc w:val="center"/>
              <w:spacing w:after="0"/>
              <w:rPr>
                <w:sz w:val="20"/>
                <w:szCs w:val="20"/>
                <w:color w:val="auto"/>
              </w:rPr>
            </w:pPr>
            <w:r>
              <w:rPr>
                <w:rFonts w:ascii="Arial" w:cs="Arial" w:eastAsia="Arial" w:hAnsi="Arial"/>
                <w:sz w:val="13"/>
                <w:szCs w:val="13"/>
                <w:color w:val="auto"/>
                <w:w w:val="94"/>
              </w:rPr>
              <w:t>3/7/2025</w:t>
            </w:r>
          </w:p>
        </w:tc>
        <w:tc>
          <w:tcPr>
            <w:tcW w:w="122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124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140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1100" w:type="dxa"/>
            <w:vAlign w:val="bottom"/>
            <w:tcBorders>
              <w:right w:val="single" w:sz="8" w:color="F1F2F2"/>
            </w:tcBorders>
            <w:shd w:val="clear" w:color="auto" w:fill="F1F2F2"/>
          </w:tcPr>
          <w:p>
            <w:pPr>
              <w:jc w:val="center"/>
              <w:spacing w:after="0"/>
              <w:rPr>
                <w:sz w:val="20"/>
                <w:szCs w:val="20"/>
                <w:color w:val="auto"/>
              </w:rPr>
            </w:pPr>
            <w:r>
              <w:rPr>
                <w:rFonts w:ascii="Arial" w:cs="Arial" w:eastAsia="Arial" w:hAnsi="Arial"/>
                <w:sz w:val="14"/>
                <w:szCs w:val="14"/>
                <w:color w:val="auto"/>
                <w:w w:val="99"/>
              </w:rPr>
              <w:t>—</w:t>
            </w:r>
          </w:p>
        </w:tc>
        <w:tc>
          <w:tcPr>
            <w:tcW w:w="1180" w:type="dxa"/>
            <w:vAlign w:val="bottom"/>
            <w:shd w:val="clear" w:color="auto" w:fill="F1F2F2"/>
          </w:tcPr>
          <w:p>
            <w:pPr>
              <w:jc w:val="right"/>
              <w:spacing w:after="0"/>
              <w:rPr>
                <w:sz w:val="20"/>
                <w:szCs w:val="20"/>
                <w:color w:val="auto"/>
              </w:rPr>
            </w:pPr>
            <w:r>
              <w:rPr>
                <w:rFonts w:ascii="Arial" w:cs="Arial" w:eastAsia="Arial" w:hAnsi="Arial"/>
                <w:sz w:val="13"/>
                <w:szCs w:val="13"/>
                <w:color w:val="auto"/>
              </w:rPr>
              <w:t>12,770</w:t>
            </w:r>
            <w:r>
              <w:rPr>
                <w:rFonts w:ascii="Arial" w:cs="Arial" w:eastAsia="Arial" w:hAnsi="Arial"/>
                <w:sz w:val="16"/>
                <w:szCs w:val="16"/>
                <w:color w:val="auto"/>
                <w:vertAlign w:val="superscript"/>
              </w:rPr>
              <w:t>(5)</w:t>
            </w:r>
          </w:p>
        </w:tc>
        <w:tc>
          <w:tcPr>
            <w:tcW w:w="1280" w:type="dxa"/>
            <w:vAlign w:val="bottom"/>
            <w:shd w:val="clear" w:color="auto" w:fill="F1F2F2"/>
          </w:tcPr>
          <w:p>
            <w:pPr>
              <w:jc w:val="right"/>
              <w:ind w:right="157"/>
              <w:spacing w:after="0"/>
              <w:rPr>
                <w:sz w:val="20"/>
                <w:szCs w:val="20"/>
                <w:color w:val="auto"/>
              </w:rPr>
            </w:pPr>
            <w:r>
              <w:rPr>
                <w:rFonts w:ascii="Arial" w:cs="Arial" w:eastAsia="Arial" w:hAnsi="Arial"/>
                <w:sz w:val="13"/>
                <w:szCs w:val="13"/>
                <w:color w:val="auto"/>
              </w:rPr>
              <w:t>166,393</w:t>
            </w:r>
          </w:p>
        </w:tc>
        <w:tc>
          <w:tcPr>
            <w:tcW w:w="0" w:type="dxa"/>
            <w:vAlign w:val="bottom"/>
          </w:tcPr>
          <w:p>
            <w:pPr>
              <w:spacing w:after="0"/>
              <w:rPr>
                <w:sz w:val="1"/>
                <w:szCs w:val="1"/>
                <w:color w:val="auto"/>
              </w:rPr>
            </w:pPr>
          </w:p>
        </w:tc>
      </w:tr>
      <w:tr>
        <w:trPr>
          <w:trHeight w:val="270"/>
        </w:trPr>
        <w:tc>
          <w:tcPr>
            <w:tcW w:w="1740" w:type="dxa"/>
            <w:vAlign w:val="bottom"/>
            <w:shd w:val="clear" w:color="auto" w:fill="F1F2F2"/>
          </w:tcPr>
          <w:p>
            <w:pPr>
              <w:spacing w:after="0"/>
              <w:rPr>
                <w:sz w:val="23"/>
                <w:szCs w:val="23"/>
                <w:color w:val="auto"/>
              </w:rPr>
            </w:pPr>
          </w:p>
        </w:tc>
        <w:tc>
          <w:tcPr>
            <w:tcW w:w="1080" w:type="dxa"/>
            <w:vAlign w:val="bottom"/>
            <w:shd w:val="clear" w:color="auto" w:fill="F1F2F2"/>
          </w:tcPr>
          <w:p>
            <w:pPr>
              <w:jc w:val="center"/>
              <w:spacing w:after="0"/>
              <w:rPr>
                <w:sz w:val="20"/>
                <w:szCs w:val="20"/>
                <w:color w:val="auto"/>
              </w:rPr>
            </w:pPr>
            <w:r>
              <w:rPr>
                <w:rFonts w:ascii="Arial" w:cs="Arial" w:eastAsia="Arial" w:hAnsi="Arial"/>
                <w:sz w:val="13"/>
                <w:szCs w:val="13"/>
                <w:color w:val="auto"/>
                <w:w w:val="96"/>
              </w:rPr>
              <w:t>5/28/2024</w:t>
            </w:r>
          </w:p>
        </w:tc>
        <w:tc>
          <w:tcPr>
            <w:tcW w:w="122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124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140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1100" w:type="dxa"/>
            <w:vAlign w:val="bottom"/>
            <w:tcBorders>
              <w:right w:val="single" w:sz="8" w:color="F1F2F2"/>
            </w:tcBorders>
            <w:shd w:val="clear" w:color="auto" w:fill="F1F2F2"/>
          </w:tcPr>
          <w:p>
            <w:pPr>
              <w:jc w:val="center"/>
              <w:spacing w:after="0"/>
              <w:rPr>
                <w:sz w:val="20"/>
                <w:szCs w:val="20"/>
                <w:color w:val="auto"/>
              </w:rPr>
            </w:pPr>
            <w:r>
              <w:rPr>
                <w:rFonts w:ascii="Arial" w:cs="Arial" w:eastAsia="Arial" w:hAnsi="Arial"/>
                <w:sz w:val="14"/>
                <w:szCs w:val="14"/>
                <w:color w:val="auto"/>
                <w:w w:val="99"/>
              </w:rPr>
              <w:t>—</w:t>
            </w:r>
          </w:p>
        </w:tc>
        <w:tc>
          <w:tcPr>
            <w:tcW w:w="1180" w:type="dxa"/>
            <w:vAlign w:val="bottom"/>
            <w:shd w:val="clear" w:color="auto" w:fill="F1F2F2"/>
          </w:tcPr>
          <w:p>
            <w:pPr>
              <w:jc w:val="right"/>
              <w:spacing w:after="0"/>
              <w:rPr>
                <w:sz w:val="20"/>
                <w:szCs w:val="20"/>
                <w:color w:val="auto"/>
              </w:rPr>
            </w:pPr>
            <w:r>
              <w:rPr>
                <w:rFonts w:ascii="Arial" w:cs="Arial" w:eastAsia="Arial" w:hAnsi="Arial"/>
                <w:sz w:val="13"/>
                <w:szCs w:val="13"/>
                <w:color w:val="auto"/>
              </w:rPr>
              <w:t>50,711</w:t>
            </w:r>
            <w:r>
              <w:rPr>
                <w:rFonts w:ascii="Arial" w:cs="Arial" w:eastAsia="Arial" w:hAnsi="Arial"/>
                <w:sz w:val="16"/>
                <w:szCs w:val="16"/>
                <w:color w:val="auto"/>
                <w:vertAlign w:val="superscript"/>
              </w:rPr>
              <w:t>(6)</w:t>
            </w:r>
          </w:p>
        </w:tc>
        <w:tc>
          <w:tcPr>
            <w:tcW w:w="1280" w:type="dxa"/>
            <w:vAlign w:val="bottom"/>
            <w:shd w:val="clear" w:color="auto" w:fill="F1F2F2"/>
          </w:tcPr>
          <w:p>
            <w:pPr>
              <w:jc w:val="right"/>
              <w:ind w:right="157"/>
              <w:spacing w:after="0"/>
              <w:rPr>
                <w:sz w:val="20"/>
                <w:szCs w:val="20"/>
                <w:color w:val="auto"/>
              </w:rPr>
            </w:pPr>
            <w:r>
              <w:rPr>
                <w:rFonts w:ascii="Arial" w:cs="Arial" w:eastAsia="Arial" w:hAnsi="Arial"/>
                <w:sz w:val="13"/>
                <w:szCs w:val="13"/>
                <w:color w:val="auto"/>
              </w:rPr>
              <w:t>660,764</w:t>
            </w:r>
          </w:p>
        </w:tc>
        <w:tc>
          <w:tcPr>
            <w:tcW w:w="0" w:type="dxa"/>
            <w:vAlign w:val="bottom"/>
          </w:tcPr>
          <w:p>
            <w:pPr>
              <w:spacing w:after="0"/>
              <w:rPr>
                <w:sz w:val="1"/>
                <w:szCs w:val="1"/>
                <w:color w:val="auto"/>
              </w:rPr>
            </w:pPr>
          </w:p>
        </w:tc>
      </w:tr>
      <w:tr>
        <w:trPr>
          <w:trHeight w:val="270"/>
        </w:trPr>
        <w:tc>
          <w:tcPr>
            <w:tcW w:w="1740" w:type="dxa"/>
            <w:vAlign w:val="bottom"/>
            <w:shd w:val="clear" w:color="auto" w:fill="F1F2F2"/>
          </w:tcPr>
          <w:p>
            <w:pPr>
              <w:spacing w:after="0"/>
              <w:rPr>
                <w:sz w:val="23"/>
                <w:szCs w:val="23"/>
                <w:color w:val="auto"/>
              </w:rPr>
            </w:pPr>
          </w:p>
        </w:tc>
        <w:tc>
          <w:tcPr>
            <w:tcW w:w="1080" w:type="dxa"/>
            <w:vAlign w:val="bottom"/>
            <w:shd w:val="clear" w:color="auto" w:fill="F1F2F2"/>
          </w:tcPr>
          <w:p>
            <w:pPr>
              <w:jc w:val="center"/>
              <w:spacing w:after="0"/>
              <w:rPr>
                <w:sz w:val="20"/>
                <w:szCs w:val="20"/>
                <w:color w:val="auto"/>
              </w:rPr>
            </w:pPr>
            <w:r>
              <w:rPr>
                <w:rFonts w:ascii="Arial" w:cs="Arial" w:eastAsia="Arial" w:hAnsi="Arial"/>
                <w:sz w:val="13"/>
                <w:szCs w:val="13"/>
                <w:color w:val="auto"/>
                <w:w w:val="96"/>
              </w:rPr>
              <w:t>5/10/2024</w:t>
            </w:r>
          </w:p>
        </w:tc>
        <w:tc>
          <w:tcPr>
            <w:tcW w:w="122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1240" w:type="dxa"/>
            <w:vAlign w:val="bottom"/>
            <w:shd w:val="clear" w:color="auto" w:fill="F1F2F2"/>
          </w:tcPr>
          <w:p>
            <w:pPr>
              <w:jc w:val="right"/>
              <w:spacing w:after="0"/>
              <w:rPr>
                <w:sz w:val="20"/>
                <w:szCs w:val="20"/>
                <w:color w:val="auto"/>
              </w:rPr>
            </w:pPr>
            <w:r>
              <w:rPr>
                <w:rFonts w:ascii="Arial" w:cs="Arial" w:eastAsia="Arial" w:hAnsi="Arial"/>
                <w:sz w:val="13"/>
                <w:szCs w:val="13"/>
                <w:color w:val="auto"/>
              </w:rPr>
              <w:t>27,000</w:t>
            </w:r>
            <w:r>
              <w:rPr>
                <w:rFonts w:ascii="Arial" w:cs="Arial" w:eastAsia="Arial" w:hAnsi="Arial"/>
                <w:sz w:val="16"/>
                <w:szCs w:val="16"/>
                <w:color w:val="auto"/>
                <w:vertAlign w:val="superscript"/>
              </w:rPr>
              <w:t>(7)</w:t>
            </w:r>
          </w:p>
        </w:tc>
        <w:tc>
          <w:tcPr>
            <w:tcW w:w="140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F1F2F2"/>
          </w:tcPr>
          <w:p>
            <w:pPr>
              <w:jc w:val="right"/>
              <w:spacing w:after="0"/>
              <w:rPr>
                <w:sz w:val="20"/>
                <w:szCs w:val="20"/>
                <w:color w:val="auto"/>
              </w:rPr>
            </w:pPr>
            <w:r>
              <w:rPr>
                <w:rFonts w:ascii="Arial" w:cs="Arial" w:eastAsia="Arial" w:hAnsi="Arial"/>
                <w:sz w:val="13"/>
                <w:szCs w:val="13"/>
                <w:color w:val="auto"/>
              </w:rPr>
              <w:t>22.50</w:t>
            </w:r>
          </w:p>
        </w:tc>
        <w:tc>
          <w:tcPr>
            <w:tcW w:w="1100" w:type="dxa"/>
            <w:vAlign w:val="bottom"/>
            <w:tcBorders>
              <w:right w:val="single" w:sz="8" w:color="F1F2F2"/>
            </w:tcBorders>
            <w:shd w:val="clear" w:color="auto" w:fill="F1F2F2"/>
          </w:tcPr>
          <w:p>
            <w:pPr>
              <w:jc w:val="center"/>
              <w:spacing w:after="0"/>
              <w:rPr>
                <w:sz w:val="20"/>
                <w:szCs w:val="20"/>
                <w:color w:val="auto"/>
              </w:rPr>
            </w:pPr>
            <w:r>
              <w:rPr>
                <w:rFonts w:ascii="Arial" w:cs="Arial" w:eastAsia="Arial" w:hAnsi="Arial"/>
                <w:sz w:val="13"/>
                <w:szCs w:val="13"/>
                <w:color w:val="auto"/>
                <w:w w:val="96"/>
              </w:rPr>
              <w:t>5/10/2032</w:t>
            </w:r>
          </w:p>
        </w:tc>
        <w:tc>
          <w:tcPr>
            <w:tcW w:w="118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1280" w:type="dxa"/>
            <w:vAlign w:val="bottom"/>
            <w:shd w:val="clear" w:color="auto" w:fill="F1F2F2"/>
          </w:tcPr>
          <w:p>
            <w:pPr>
              <w:jc w:val="right"/>
              <w:ind w:right="1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0"/>
        </w:trPr>
        <w:tc>
          <w:tcPr>
            <w:tcW w:w="1740" w:type="dxa"/>
            <w:vAlign w:val="bottom"/>
            <w:shd w:val="clear" w:color="auto" w:fill="F1F2F2"/>
          </w:tcPr>
          <w:p>
            <w:pPr>
              <w:ind w:left="100"/>
              <w:spacing w:after="0"/>
              <w:rPr>
                <w:sz w:val="20"/>
                <w:szCs w:val="20"/>
                <w:color w:val="auto"/>
              </w:rPr>
            </w:pPr>
            <w:r>
              <w:rPr>
                <w:rFonts w:ascii="Arial" w:cs="Arial" w:eastAsia="Arial" w:hAnsi="Arial"/>
                <w:sz w:val="13"/>
                <w:szCs w:val="13"/>
                <w:b w:val="1"/>
                <w:bCs w:val="1"/>
                <w:color w:val="auto"/>
              </w:rPr>
              <w:t>Hyeeun Son</w:t>
            </w:r>
          </w:p>
        </w:tc>
        <w:tc>
          <w:tcPr>
            <w:tcW w:w="1080" w:type="dxa"/>
            <w:vAlign w:val="bottom"/>
            <w:shd w:val="clear" w:color="auto" w:fill="F1F2F2"/>
          </w:tcPr>
          <w:p>
            <w:pPr>
              <w:jc w:val="center"/>
              <w:spacing w:after="0"/>
              <w:rPr>
                <w:sz w:val="20"/>
                <w:szCs w:val="20"/>
                <w:color w:val="auto"/>
              </w:rPr>
            </w:pPr>
            <w:r>
              <w:rPr>
                <w:rFonts w:ascii="Arial" w:cs="Arial" w:eastAsia="Arial" w:hAnsi="Arial"/>
                <w:sz w:val="13"/>
                <w:szCs w:val="13"/>
                <w:color w:val="auto"/>
                <w:w w:val="95"/>
              </w:rPr>
              <w:t>11/22/2023</w:t>
            </w:r>
          </w:p>
        </w:tc>
        <w:tc>
          <w:tcPr>
            <w:tcW w:w="122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1240" w:type="dxa"/>
            <w:vAlign w:val="bottom"/>
            <w:shd w:val="clear" w:color="auto" w:fill="F1F2F2"/>
          </w:tcPr>
          <w:p>
            <w:pPr>
              <w:jc w:val="right"/>
              <w:spacing w:after="0"/>
              <w:rPr>
                <w:sz w:val="20"/>
                <w:szCs w:val="20"/>
                <w:color w:val="auto"/>
              </w:rPr>
            </w:pPr>
            <w:r>
              <w:rPr>
                <w:rFonts w:ascii="Arial" w:cs="Arial" w:eastAsia="Arial" w:hAnsi="Arial"/>
                <w:sz w:val="13"/>
                <w:szCs w:val="13"/>
                <w:color w:val="auto"/>
              </w:rPr>
              <w:t>30,000</w:t>
            </w:r>
            <w:r>
              <w:rPr>
                <w:rFonts w:ascii="Arial" w:cs="Arial" w:eastAsia="Arial" w:hAnsi="Arial"/>
                <w:sz w:val="16"/>
                <w:szCs w:val="16"/>
                <w:color w:val="auto"/>
                <w:vertAlign w:val="superscript"/>
              </w:rPr>
              <w:t>(8)</w:t>
            </w:r>
          </w:p>
        </w:tc>
        <w:tc>
          <w:tcPr>
            <w:tcW w:w="140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F1F2F2"/>
          </w:tcPr>
          <w:p>
            <w:pPr>
              <w:jc w:val="right"/>
              <w:spacing w:after="0"/>
              <w:rPr>
                <w:sz w:val="20"/>
                <w:szCs w:val="20"/>
                <w:color w:val="auto"/>
              </w:rPr>
            </w:pPr>
            <w:r>
              <w:rPr>
                <w:rFonts w:ascii="Arial" w:cs="Arial" w:eastAsia="Arial" w:hAnsi="Arial"/>
                <w:sz w:val="13"/>
                <w:szCs w:val="13"/>
                <w:color w:val="auto"/>
              </w:rPr>
              <w:t>20.34</w:t>
            </w:r>
          </w:p>
        </w:tc>
        <w:tc>
          <w:tcPr>
            <w:tcW w:w="1100" w:type="dxa"/>
            <w:vAlign w:val="bottom"/>
            <w:tcBorders>
              <w:right w:val="single" w:sz="8" w:color="F1F2F2"/>
            </w:tcBorders>
            <w:shd w:val="clear" w:color="auto" w:fill="F1F2F2"/>
          </w:tcPr>
          <w:p>
            <w:pPr>
              <w:jc w:val="center"/>
              <w:spacing w:after="0"/>
              <w:rPr>
                <w:sz w:val="20"/>
                <w:szCs w:val="20"/>
                <w:color w:val="auto"/>
              </w:rPr>
            </w:pPr>
            <w:r>
              <w:rPr>
                <w:rFonts w:ascii="Arial" w:cs="Arial" w:eastAsia="Arial" w:hAnsi="Arial"/>
                <w:sz w:val="13"/>
                <w:szCs w:val="13"/>
                <w:color w:val="auto"/>
                <w:w w:val="95"/>
              </w:rPr>
              <w:t>11/22/2031</w:t>
            </w:r>
          </w:p>
        </w:tc>
        <w:tc>
          <w:tcPr>
            <w:tcW w:w="118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1280" w:type="dxa"/>
            <w:vAlign w:val="bottom"/>
            <w:shd w:val="clear" w:color="auto" w:fill="F1F2F2"/>
          </w:tcPr>
          <w:p>
            <w:pPr>
              <w:jc w:val="right"/>
              <w:ind w:right="1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3"/>
        </w:trPr>
        <w:tc>
          <w:tcPr>
            <w:tcW w:w="1740" w:type="dxa"/>
            <w:vAlign w:val="bottom"/>
            <w:shd w:val="clear" w:color="auto" w:fill="F1F2F2"/>
          </w:tcPr>
          <w:p>
            <w:pPr>
              <w:spacing w:after="0"/>
              <w:rPr>
                <w:sz w:val="18"/>
                <w:szCs w:val="18"/>
                <w:color w:val="auto"/>
              </w:rPr>
            </w:pPr>
          </w:p>
        </w:tc>
        <w:tc>
          <w:tcPr>
            <w:tcW w:w="1080" w:type="dxa"/>
            <w:vAlign w:val="bottom"/>
            <w:shd w:val="clear" w:color="auto" w:fill="F1F2F2"/>
          </w:tcPr>
          <w:p>
            <w:pPr>
              <w:jc w:val="center"/>
              <w:spacing w:after="0"/>
              <w:rPr>
                <w:sz w:val="20"/>
                <w:szCs w:val="20"/>
                <w:color w:val="auto"/>
              </w:rPr>
            </w:pPr>
            <w:r>
              <w:rPr>
                <w:rFonts w:ascii="Arial" w:cs="Arial" w:eastAsia="Arial" w:hAnsi="Arial"/>
                <w:sz w:val="13"/>
                <w:szCs w:val="13"/>
                <w:color w:val="auto"/>
                <w:w w:val="98"/>
              </w:rPr>
              <w:t>12/26/2022</w:t>
            </w:r>
          </w:p>
        </w:tc>
        <w:tc>
          <w:tcPr>
            <w:tcW w:w="1220" w:type="dxa"/>
            <w:vAlign w:val="bottom"/>
            <w:shd w:val="clear" w:color="auto" w:fill="F1F2F2"/>
          </w:tcPr>
          <w:p>
            <w:pPr>
              <w:jc w:val="right"/>
              <w:spacing w:after="0"/>
              <w:rPr>
                <w:sz w:val="20"/>
                <w:szCs w:val="20"/>
                <w:color w:val="auto"/>
              </w:rPr>
            </w:pPr>
            <w:r>
              <w:rPr>
                <w:rFonts w:ascii="Arial" w:cs="Arial" w:eastAsia="Arial" w:hAnsi="Arial"/>
                <w:sz w:val="13"/>
                <w:szCs w:val="13"/>
                <w:color w:val="auto"/>
              </w:rPr>
              <w:t>2,460</w:t>
            </w:r>
          </w:p>
        </w:tc>
        <w:tc>
          <w:tcPr>
            <w:tcW w:w="124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140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F1F2F2"/>
          </w:tcPr>
          <w:p>
            <w:pPr>
              <w:jc w:val="right"/>
              <w:spacing w:after="0"/>
              <w:rPr>
                <w:sz w:val="20"/>
                <w:szCs w:val="20"/>
                <w:color w:val="auto"/>
              </w:rPr>
            </w:pPr>
            <w:r>
              <w:rPr>
                <w:rFonts w:ascii="Arial" w:cs="Arial" w:eastAsia="Arial" w:hAnsi="Arial"/>
                <w:sz w:val="13"/>
                <w:szCs w:val="13"/>
                <w:color w:val="auto"/>
              </w:rPr>
              <w:t>32.30</w:t>
            </w:r>
          </w:p>
        </w:tc>
        <w:tc>
          <w:tcPr>
            <w:tcW w:w="1100" w:type="dxa"/>
            <w:vAlign w:val="bottom"/>
            <w:tcBorders>
              <w:right w:val="single" w:sz="8" w:color="F1F2F2"/>
            </w:tcBorders>
            <w:shd w:val="clear" w:color="auto" w:fill="F1F2F2"/>
          </w:tcPr>
          <w:p>
            <w:pPr>
              <w:jc w:val="center"/>
              <w:spacing w:after="0"/>
              <w:rPr>
                <w:sz w:val="20"/>
                <w:szCs w:val="20"/>
                <w:color w:val="auto"/>
              </w:rPr>
            </w:pPr>
            <w:r>
              <w:rPr>
                <w:rFonts w:ascii="Arial" w:cs="Arial" w:eastAsia="Arial" w:hAnsi="Arial"/>
                <w:sz w:val="13"/>
                <w:szCs w:val="13"/>
                <w:color w:val="auto"/>
                <w:w w:val="95"/>
              </w:rPr>
              <w:t>12/26/2030</w:t>
            </w:r>
          </w:p>
        </w:tc>
        <w:tc>
          <w:tcPr>
            <w:tcW w:w="118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1280" w:type="dxa"/>
            <w:vAlign w:val="bottom"/>
            <w:shd w:val="clear" w:color="auto" w:fill="F1F2F2"/>
          </w:tcPr>
          <w:p>
            <w:pPr>
              <w:jc w:val="right"/>
              <w:ind w:right="1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0"/>
        </w:trPr>
        <w:tc>
          <w:tcPr>
            <w:tcW w:w="1740" w:type="dxa"/>
            <w:vAlign w:val="bottom"/>
            <w:shd w:val="clear" w:color="auto" w:fill="F1F2F2"/>
          </w:tcPr>
          <w:p>
            <w:pPr>
              <w:spacing w:after="0"/>
              <w:rPr>
                <w:sz w:val="23"/>
                <w:szCs w:val="23"/>
                <w:color w:val="auto"/>
              </w:rPr>
            </w:pPr>
          </w:p>
        </w:tc>
        <w:tc>
          <w:tcPr>
            <w:tcW w:w="1080" w:type="dxa"/>
            <w:vAlign w:val="bottom"/>
            <w:shd w:val="clear" w:color="auto" w:fill="F1F2F2"/>
          </w:tcPr>
          <w:p>
            <w:pPr>
              <w:jc w:val="center"/>
              <w:spacing w:after="0"/>
              <w:rPr>
                <w:sz w:val="20"/>
                <w:szCs w:val="20"/>
                <w:color w:val="auto"/>
              </w:rPr>
            </w:pPr>
            <w:r>
              <w:rPr>
                <w:rFonts w:ascii="Arial" w:cs="Arial" w:eastAsia="Arial" w:hAnsi="Arial"/>
                <w:sz w:val="13"/>
                <w:szCs w:val="13"/>
                <w:color w:val="auto"/>
                <w:w w:val="96"/>
              </w:rPr>
              <w:t>10/7/2021</w:t>
            </w:r>
          </w:p>
        </w:tc>
        <w:tc>
          <w:tcPr>
            <w:tcW w:w="1220" w:type="dxa"/>
            <w:vAlign w:val="bottom"/>
            <w:shd w:val="clear" w:color="auto" w:fill="F1F2F2"/>
          </w:tcPr>
          <w:p>
            <w:pPr>
              <w:jc w:val="right"/>
              <w:spacing w:after="0"/>
              <w:rPr>
                <w:sz w:val="20"/>
                <w:szCs w:val="20"/>
                <w:color w:val="auto"/>
              </w:rPr>
            </w:pPr>
            <w:r>
              <w:rPr>
                <w:rFonts w:ascii="Arial" w:cs="Arial" w:eastAsia="Arial" w:hAnsi="Arial"/>
                <w:sz w:val="13"/>
                <w:szCs w:val="13"/>
                <w:color w:val="auto"/>
              </w:rPr>
              <w:t>3,780</w:t>
            </w:r>
          </w:p>
        </w:tc>
        <w:tc>
          <w:tcPr>
            <w:tcW w:w="124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140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F1F2F2"/>
          </w:tcPr>
          <w:p>
            <w:pPr>
              <w:jc w:val="right"/>
              <w:spacing w:after="0"/>
              <w:rPr>
                <w:sz w:val="20"/>
                <w:szCs w:val="20"/>
                <w:color w:val="auto"/>
              </w:rPr>
            </w:pPr>
            <w:r>
              <w:rPr>
                <w:rFonts w:ascii="Arial" w:cs="Arial" w:eastAsia="Arial" w:hAnsi="Arial"/>
                <w:sz w:val="13"/>
                <w:szCs w:val="13"/>
                <w:color w:val="auto"/>
              </w:rPr>
              <w:t>13.04</w:t>
            </w:r>
          </w:p>
        </w:tc>
        <w:tc>
          <w:tcPr>
            <w:tcW w:w="1100" w:type="dxa"/>
            <w:vAlign w:val="bottom"/>
            <w:tcBorders>
              <w:right w:val="single" w:sz="8" w:color="F1F2F2"/>
            </w:tcBorders>
            <w:shd w:val="clear" w:color="auto" w:fill="F1F2F2"/>
          </w:tcPr>
          <w:p>
            <w:pPr>
              <w:jc w:val="center"/>
              <w:spacing w:after="0"/>
              <w:rPr>
                <w:sz w:val="20"/>
                <w:szCs w:val="20"/>
                <w:color w:val="auto"/>
              </w:rPr>
            </w:pPr>
            <w:r>
              <w:rPr>
                <w:rFonts w:ascii="Arial" w:cs="Arial" w:eastAsia="Arial" w:hAnsi="Arial"/>
                <w:sz w:val="13"/>
                <w:szCs w:val="13"/>
                <w:color w:val="auto"/>
                <w:w w:val="96"/>
              </w:rPr>
              <w:t>10/7/2029</w:t>
            </w:r>
          </w:p>
        </w:tc>
        <w:tc>
          <w:tcPr>
            <w:tcW w:w="118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1280" w:type="dxa"/>
            <w:vAlign w:val="bottom"/>
            <w:shd w:val="clear" w:color="auto" w:fill="F1F2F2"/>
          </w:tcPr>
          <w:p>
            <w:pPr>
              <w:jc w:val="right"/>
              <w:ind w:right="1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0"/>
        </w:trPr>
        <w:tc>
          <w:tcPr>
            <w:tcW w:w="1740" w:type="dxa"/>
            <w:vAlign w:val="bottom"/>
            <w:shd w:val="clear" w:color="auto" w:fill="F1F2F2"/>
          </w:tcPr>
          <w:p>
            <w:pPr>
              <w:spacing w:after="0"/>
              <w:rPr>
                <w:sz w:val="23"/>
                <w:szCs w:val="23"/>
                <w:color w:val="auto"/>
              </w:rPr>
            </w:pPr>
          </w:p>
        </w:tc>
        <w:tc>
          <w:tcPr>
            <w:tcW w:w="1080" w:type="dxa"/>
            <w:vAlign w:val="bottom"/>
            <w:shd w:val="clear" w:color="auto" w:fill="F1F2F2"/>
          </w:tcPr>
          <w:p>
            <w:pPr>
              <w:jc w:val="center"/>
              <w:spacing w:after="0"/>
              <w:rPr>
                <w:sz w:val="20"/>
                <w:szCs w:val="20"/>
                <w:color w:val="auto"/>
              </w:rPr>
            </w:pPr>
            <w:r>
              <w:rPr>
                <w:rFonts w:ascii="Arial" w:cs="Arial" w:eastAsia="Arial" w:hAnsi="Arial"/>
                <w:sz w:val="13"/>
                <w:szCs w:val="13"/>
                <w:color w:val="auto"/>
                <w:w w:val="95"/>
              </w:rPr>
              <w:t>11/23/2020</w:t>
            </w:r>
          </w:p>
        </w:tc>
        <w:tc>
          <w:tcPr>
            <w:tcW w:w="1220" w:type="dxa"/>
            <w:vAlign w:val="bottom"/>
            <w:shd w:val="clear" w:color="auto" w:fill="F1F2F2"/>
          </w:tcPr>
          <w:p>
            <w:pPr>
              <w:jc w:val="right"/>
              <w:spacing w:after="0"/>
              <w:rPr>
                <w:sz w:val="20"/>
                <w:szCs w:val="20"/>
                <w:color w:val="auto"/>
              </w:rPr>
            </w:pPr>
            <w:r>
              <w:rPr>
                <w:rFonts w:ascii="Arial" w:cs="Arial" w:eastAsia="Arial" w:hAnsi="Arial"/>
                <w:sz w:val="13"/>
                <w:szCs w:val="13"/>
                <w:color w:val="auto"/>
              </w:rPr>
              <w:t>37,920</w:t>
            </w:r>
          </w:p>
        </w:tc>
        <w:tc>
          <w:tcPr>
            <w:tcW w:w="124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140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F1F2F2"/>
          </w:tcPr>
          <w:p>
            <w:pPr>
              <w:jc w:val="right"/>
              <w:spacing w:after="0"/>
              <w:rPr>
                <w:sz w:val="20"/>
                <w:szCs w:val="20"/>
                <w:color w:val="auto"/>
              </w:rPr>
            </w:pPr>
            <w:r>
              <w:rPr>
                <w:rFonts w:ascii="Arial" w:cs="Arial" w:eastAsia="Arial" w:hAnsi="Arial"/>
                <w:sz w:val="13"/>
                <w:szCs w:val="13"/>
                <w:color w:val="auto"/>
              </w:rPr>
              <w:t>11.04</w:t>
            </w:r>
          </w:p>
        </w:tc>
        <w:tc>
          <w:tcPr>
            <w:tcW w:w="1100" w:type="dxa"/>
            <w:vAlign w:val="bottom"/>
            <w:tcBorders>
              <w:right w:val="single" w:sz="8" w:color="F1F2F2"/>
            </w:tcBorders>
            <w:shd w:val="clear" w:color="auto" w:fill="F1F2F2"/>
          </w:tcPr>
          <w:p>
            <w:pPr>
              <w:jc w:val="center"/>
              <w:spacing w:after="0"/>
              <w:rPr>
                <w:sz w:val="20"/>
                <w:szCs w:val="20"/>
                <w:color w:val="auto"/>
              </w:rPr>
            </w:pPr>
            <w:r>
              <w:rPr>
                <w:rFonts w:ascii="Arial" w:cs="Arial" w:eastAsia="Arial" w:hAnsi="Arial"/>
                <w:sz w:val="13"/>
                <w:szCs w:val="13"/>
                <w:color w:val="auto"/>
                <w:w w:val="95"/>
              </w:rPr>
              <w:t>11/23/2028</w:t>
            </w:r>
          </w:p>
        </w:tc>
        <w:tc>
          <w:tcPr>
            <w:tcW w:w="1180" w:type="dxa"/>
            <w:vAlign w:val="bottom"/>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1280" w:type="dxa"/>
            <w:vAlign w:val="bottom"/>
            <w:shd w:val="clear" w:color="auto" w:fill="F1F2F2"/>
          </w:tcPr>
          <w:p>
            <w:pPr>
              <w:jc w:val="right"/>
              <w:ind w:right="1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68"/>
        </w:trPr>
        <w:tc>
          <w:tcPr>
            <w:tcW w:w="1740" w:type="dxa"/>
            <w:vAlign w:val="bottom"/>
            <w:tcBorders>
              <w:bottom w:val="single" w:sz="8" w:color="auto"/>
            </w:tcBorders>
            <w:shd w:val="clear" w:color="auto" w:fill="F1F2F2"/>
          </w:tcPr>
          <w:p>
            <w:pPr>
              <w:spacing w:after="0"/>
              <w:rPr>
                <w:sz w:val="5"/>
                <w:szCs w:val="5"/>
                <w:color w:val="auto"/>
              </w:rPr>
            </w:pPr>
          </w:p>
        </w:tc>
        <w:tc>
          <w:tcPr>
            <w:tcW w:w="1080" w:type="dxa"/>
            <w:vAlign w:val="bottom"/>
            <w:tcBorders>
              <w:bottom w:val="single" w:sz="8" w:color="auto"/>
            </w:tcBorders>
            <w:shd w:val="clear" w:color="auto" w:fill="F1F2F2"/>
          </w:tcPr>
          <w:p>
            <w:pPr>
              <w:spacing w:after="0"/>
              <w:rPr>
                <w:sz w:val="5"/>
                <w:szCs w:val="5"/>
                <w:color w:val="auto"/>
              </w:rPr>
            </w:pPr>
          </w:p>
        </w:tc>
        <w:tc>
          <w:tcPr>
            <w:tcW w:w="1220" w:type="dxa"/>
            <w:vAlign w:val="bottom"/>
            <w:tcBorders>
              <w:bottom w:val="single" w:sz="8" w:color="auto"/>
            </w:tcBorders>
            <w:shd w:val="clear" w:color="auto" w:fill="F1F2F2"/>
          </w:tcPr>
          <w:p>
            <w:pPr>
              <w:spacing w:after="0"/>
              <w:rPr>
                <w:sz w:val="5"/>
                <w:szCs w:val="5"/>
                <w:color w:val="auto"/>
              </w:rPr>
            </w:pPr>
          </w:p>
        </w:tc>
        <w:tc>
          <w:tcPr>
            <w:tcW w:w="1240" w:type="dxa"/>
            <w:vAlign w:val="bottom"/>
            <w:tcBorders>
              <w:bottom w:val="single" w:sz="8" w:color="auto"/>
            </w:tcBorders>
            <w:shd w:val="clear" w:color="auto" w:fill="F1F2F2"/>
          </w:tcPr>
          <w:p>
            <w:pPr>
              <w:spacing w:after="0"/>
              <w:rPr>
                <w:sz w:val="5"/>
                <w:szCs w:val="5"/>
                <w:color w:val="auto"/>
              </w:rPr>
            </w:pPr>
          </w:p>
        </w:tc>
        <w:tc>
          <w:tcPr>
            <w:tcW w:w="1400" w:type="dxa"/>
            <w:vAlign w:val="bottom"/>
            <w:tcBorders>
              <w:bottom w:val="single" w:sz="8" w:color="auto"/>
            </w:tcBorders>
            <w:shd w:val="clear" w:color="auto" w:fill="F1F2F2"/>
          </w:tcPr>
          <w:p>
            <w:pPr>
              <w:spacing w:after="0"/>
              <w:rPr>
                <w:sz w:val="5"/>
                <w:szCs w:val="5"/>
                <w:color w:val="auto"/>
              </w:rPr>
            </w:pPr>
          </w:p>
        </w:tc>
        <w:tc>
          <w:tcPr>
            <w:tcW w:w="1000" w:type="dxa"/>
            <w:vAlign w:val="bottom"/>
            <w:tcBorders>
              <w:bottom w:val="single" w:sz="8" w:color="auto"/>
            </w:tcBorders>
            <w:shd w:val="clear" w:color="auto" w:fill="F1F2F2"/>
          </w:tcPr>
          <w:p>
            <w:pPr>
              <w:spacing w:after="0"/>
              <w:rPr>
                <w:sz w:val="5"/>
                <w:szCs w:val="5"/>
                <w:color w:val="auto"/>
              </w:rPr>
            </w:pPr>
          </w:p>
        </w:tc>
        <w:tc>
          <w:tcPr>
            <w:tcW w:w="1100" w:type="dxa"/>
            <w:vAlign w:val="bottom"/>
            <w:tcBorders>
              <w:bottom w:val="single" w:sz="8" w:color="auto"/>
              <w:right w:val="single" w:sz="8" w:color="F1F2F2"/>
            </w:tcBorders>
            <w:shd w:val="clear" w:color="auto" w:fill="F1F2F2"/>
          </w:tcPr>
          <w:p>
            <w:pPr>
              <w:spacing w:after="0"/>
              <w:rPr>
                <w:sz w:val="5"/>
                <w:szCs w:val="5"/>
                <w:color w:val="auto"/>
              </w:rPr>
            </w:pPr>
          </w:p>
        </w:tc>
        <w:tc>
          <w:tcPr>
            <w:tcW w:w="1180" w:type="dxa"/>
            <w:vAlign w:val="bottom"/>
            <w:tcBorders>
              <w:bottom w:val="single" w:sz="8" w:color="auto"/>
            </w:tcBorders>
            <w:shd w:val="clear" w:color="auto" w:fill="F1F2F2"/>
          </w:tcPr>
          <w:p>
            <w:pPr>
              <w:spacing w:after="0"/>
              <w:rPr>
                <w:sz w:val="5"/>
                <w:szCs w:val="5"/>
                <w:color w:val="auto"/>
              </w:rPr>
            </w:pPr>
          </w:p>
        </w:tc>
        <w:tc>
          <w:tcPr>
            <w:tcW w:w="1280" w:type="dxa"/>
            <w:vAlign w:val="bottom"/>
            <w:tcBorders>
              <w:bottom w:val="single" w:sz="8" w:color="auto"/>
            </w:tcBorders>
            <w:shd w:val="clear" w:color="auto" w:fill="F1F2F2"/>
          </w:tcPr>
          <w:p>
            <w:pPr>
              <w:spacing w:after="0"/>
              <w:rPr>
                <w:sz w:val="5"/>
                <w:szCs w:val="5"/>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Market value of shares reported was calculated based on the closing share price on December 31, 2025 of $13.03.</w:t>
      </w:r>
    </w:p>
    <w:p>
      <w:pPr>
        <w:spacing w:after="0" w:line="68" w:lineRule="exact"/>
        <w:rPr>
          <w:rFonts w:ascii="Arial" w:cs="Arial" w:eastAsia="Arial" w:hAnsi="Arial"/>
          <w:sz w:val="14"/>
          <w:szCs w:val="14"/>
          <w:color w:val="auto"/>
        </w:rPr>
      </w:pPr>
    </w:p>
    <w:p>
      <w:pPr>
        <w:jc w:val="both"/>
        <w:ind w:left="340" w:right="160" w:hanging="332"/>
        <w:spacing w:after="0" w:line="273" w:lineRule="auto"/>
        <w:tabs>
          <w:tab w:leader="none" w:pos="338" w:val="left"/>
        </w:tabs>
        <w:numPr>
          <w:ilvl w:val="0"/>
          <w:numId w:val="26"/>
        </w:numPr>
        <w:rPr>
          <w:rFonts w:ascii="Arial" w:cs="Arial" w:eastAsia="Arial" w:hAnsi="Arial"/>
          <w:sz w:val="14"/>
          <w:szCs w:val="14"/>
          <w:color w:val="auto"/>
        </w:rPr>
      </w:pPr>
      <w:r>
        <w:rPr>
          <w:rFonts w:ascii="Arial" w:cs="Arial" w:eastAsia="Arial" w:hAnsi="Arial"/>
          <w:sz w:val="14"/>
          <w:szCs w:val="14"/>
          <w:color w:val="auto"/>
        </w:rPr>
        <w:t>Represents the unvested portion of an award of 228,420 RSUs that vest in installments equal to 1/12th of the total number of RSUs on the last date of each of the first 12 successive three-month periods following April 12, 2024, subject to Mr. Lee’s continuous employment with the Company. The vesting of these RSUs was also contingent upon the closing of an initial public offering or a change in control of the Company, which condition was satisfied in connection with the IPO.</w:t>
      </w:r>
    </w:p>
    <w:p>
      <w:pPr>
        <w:spacing w:after="0" w:line="17" w:lineRule="exact"/>
        <w:rPr>
          <w:rFonts w:ascii="Arial" w:cs="Arial" w:eastAsia="Arial" w:hAnsi="Arial"/>
          <w:sz w:val="14"/>
          <w:szCs w:val="14"/>
          <w:color w:val="auto"/>
        </w:rPr>
      </w:pPr>
    </w:p>
    <w:p>
      <w:pPr>
        <w:jc w:val="both"/>
        <w:ind w:left="340" w:right="260" w:hanging="332"/>
        <w:spacing w:after="0" w:line="276" w:lineRule="auto"/>
        <w:tabs>
          <w:tab w:leader="none" w:pos="338" w:val="left"/>
        </w:tabs>
        <w:numPr>
          <w:ilvl w:val="0"/>
          <w:numId w:val="26"/>
        </w:numPr>
        <w:rPr>
          <w:rFonts w:ascii="Arial" w:cs="Arial" w:eastAsia="Arial" w:hAnsi="Arial"/>
          <w:sz w:val="14"/>
          <w:szCs w:val="14"/>
          <w:color w:val="auto"/>
        </w:rPr>
      </w:pPr>
      <w:r>
        <w:rPr>
          <w:rFonts w:ascii="Arial" w:cs="Arial" w:eastAsia="Arial" w:hAnsi="Arial"/>
          <w:sz w:val="14"/>
          <w:szCs w:val="14"/>
          <w:color w:val="auto"/>
        </w:rPr>
        <w:t>Represents the unvested portion of an award of 71,162 RSUs that vest in installments equal to 1/12th of the total number of RSUs on the last day of each of the first 12 successive three-month periods following November 1, 2023, subject to Mr. Lee’s continuous employment with the Company through each vesting date. The vesting of these RSUs was also contingent upon the closing of an initial public offering or a change in control of the Company, which condition was satisfied in connection with the IPO.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238760</wp:posOffset>
            </wp:positionV>
            <wp:extent cx="282575" cy="2743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82575" cy="274320"/>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280" w:type="dxa"/>
            <w:vAlign w:val="bottom"/>
          </w:tcPr>
          <w:p>
            <w:pPr>
              <w:ind w:left="20"/>
              <w:spacing w:after="0"/>
              <w:rPr>
                <w:sz w:val="20"/>
                <w:szCs w:val="20"/>
                <w:color w:val="auto"/>
              </w:rPr>
            </w:pPr>
            <w:r>
              <w:rPr>
                <w:rFonts w:ascii="Arial" w:cs="Arial" w:eastAsia="Arial" w:hAnsi="Arial"/>
                <w:sz w:val="14"/>
                <w:szCs w:val="14"/>
                <w:b w:val="1"/>
                <w:bCs w:val="1"/>
                <w:color w:val="auto"/>
              </w:rPr>
              <w:t>2026 Proxy Statement</w:t>
            </w:r>
          </w:p>
        </w:tc>
        <w:tc>
          <w:tcPr>
            <w:tcW w:w="4960" w:type="dxa"/>
            <w:vAlign w:val="bottom"/>
          </w:tcPr>
          <w:p>
            <w:pPr>
              <w:jc w:val="right"/>
              <w:spacing w:after="0"/>
              <w:rPr>
                <w:sz w:val="20"/>
                <w:szCs w:val="20"/>
                <w:color w:val="auto"/>
              </w:rPr>
            </w:pPr>
            <w:r>
              <w:rPr>
                <w:rFonts w:ascii="Arial" w:cs="Arial" w:eastAsia="Arial" w:hAnsi="Arial"/>
                <w:sz w:val="14"/>
                <w:szCs w:val="14"/>
                <w:b w:val="1"/>
                <w:bCs w:val="1"/>
                <w:color w:val="auto"/>
              </w:rPr>
              <w:t>37</w:t>
            </w:r>
          </w:p>
        </w:tc>
      </w:tr>
      <w:tr>
        <w:trPr>
          <w:trHeight w:val="360"/>
        </w:trPr>
        <w:tc>
          <w:tcPr>
            <w:tcW w:w="6280" w:type="dxa"/>
            <w:vAlign w:val="bottom"/>
            <w:tcBorders>
              <w:bottom w:val="single" w:sz="8" w:color="9A9A9A"/>
            </w:tcBorders>
          </w:tcPr>
          <w:p>
            <w:pPr>
              <w:spacing w:after="0"/>
              <w:rPr>
                <w:sz w:val="24"/>
                <w:szCs w:val="24"/>
                <w:color w:val="auto"/>
              </w:rPr>
            </w:pPr>
          </w:p>
        </w:tc>
        <w:tc>
          <w:tcPr>
            <w:tcW w:w="4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ind w:left="340" w:right="100" w:hanging="332"/>
        <w:spacing w:after="0" w:line="273" w:lineRule="auto"/>
        <w:tabs>
          <w:tab w:leader="none" w:pos="338"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Represents the unvested portion of an award of 593,009 Options that vest in installments equal to 1/12th of the total number of options on the last date of each of the first 12 successive three-month periods following November 1, 2023, subject to Mr. Lee’s continuous employment with the Company through each vesting date. The vesting of these Options was also contingent upon the closing of an initial public offering or a change in control of the Company, which condition was satisfied in connection with the IPO.</w:t>
      </w:r>
    </w:p>
    <w:p>
      <w:pPr>
        <w:spacing w:after="0" w:line="193" w:lineRule="exact"/>
        <w:rPr>
          <w:rFonts w:ascii="Arial" w:cs="Arial" w:eastAsia="Arial" w:hAnsi="Arial"/>
          <w:sz w:val="14"/>
          <w:szCs w:val="14"/>
          <w:color w:val="auto"/>
        </w:rPr>
      </w:pPr>
    </w:p>
    <w:p>
      <w:pPr>
        <w:ind w:left="340" w:right="760" w:hanging="332"/>
        <w:spacing w:after="0" w:line="301" w:lineRule="auto"/>
        <w:tabs>
          <w:tab w:leader="none" w:pos="338" w:val="left"/>
        </w:tabs>
        <w:numPr>
          <w:ilvl w:val="0"/>
          <w:numId w:val="27"/>
        </w:numPr>
        <w:rPr>
          <w:rFonts w:ascii="Arial" w:cs="Arial" w:eastAsia="Arial" w:hAnsi="Arial"/>
          <w:sz w:val="14"/>
          <w:szCs w:val="14"/>
          <w:color w:val="auto"/>
        </w:rPr>
      </w:pPr>
      <w:r>
        <w:rPr>
          <w:rFonts w:ascii="Arial" w:cs="Arial" w:eastAsia="Arial" w:hAnsi="Arial"/>
          <w:sz w:val="14"/>
          <w:szCs w:val="14"/>
          <w:color w:val="auto"/>
        </w:rPr>
        <w:t>Unvested RSUs to vest in installments of 30%, 30% and 40% on March 15, 2025, the first and second anniversary of that date, subject to the NEO’s continuous employment with the Company through each vesting date.</w:t>
      </w:r>
    </w:p>
    <w:p>
      <w:pPr>
        <w:spacing w:after="0" w:line="1" w:lineRule="exact"/>
        <w:rPr>
          <w:rFonts w:ascii="Arial" w:cs="Arial" w:eastAsia="Arial" w:hAnsi="Arial"/>
          <w:sz w:val="14"/>
          <w:szCs w:val="14"/>
          <w:color w:val="auto"/>
        </w:rPr>
      </w:pPr>
    </w:p>
    <w:p>
      <w:pPr>
        <w:ind w:left="340" w:right="60" w:hanging="332"/>
        <w:spacing w:after="0" w:line="291" w:lineRule="auto"/>
        <w:tabs>
          <w:tab w:leader="none" w:pos="338" w:val="left"/>
        </w:tabs>
        <w:numPr>
          <w:ilvl w:val="0"/>
          <w:numId w:val="27"/>
        </w:numPr>
        <w:rPr>
          <w:rFonts w:ascii="Arial" w:cs="Arial" w:eastAsia="Arial" w:hAnsi="Arial"/>
          <w:sz w:val="14"/>
          <w:szCs w:val="14"/>
          <w:color w:val="auto"/>
        </w:rPr>
      </w:pPr>
      <w:r>
        <w:rPr>
          <w:rFonts w:ascii="Arial" w:cs="Arial" w:eastAsia="Arial" w:hAnsi="Arial"/>
          <w:sz w:val="14"/>
          <w:szCs w:val="14"/>
          <w:color w:val="auto"/>
        </w:rPr>
        <w:t>Unvested RSUs to vest in installments of 30%, 30% and 40% on the first, second and third anniversary of May 28, 2024, subject to the NEO’s continuous employment with the Company through each vesting date.</w:t>
      </w:r>
    </w:p>
    <w:p>
      <w:pPr>
        <w:spacing w:after="0" w:line="1" w:lineRule="exact"/>
        <w:rPr>
          <w:rFonts w:ascii="Arial" w:cs="Arial" w:eastAsia="Arial" w:hAnsi="Arial"/>
          <w:sz w:val="14"/>
          <w:szCs w:val="14"/>
          <w:color w:val="auto"/>
        </w:rPr>
      </w:pPr>
    </w:p>
    <w:p>
      <w:pPr>
        <w:ind w:left="340" w:right="180" w:hanging="332"/>
        <w:spacing w:after="0" w:line="301" w:lineRule="auto"/>
        <w:tabs>
          <w:tab w:leader="none" w:pos="338" w:val="left"/>
        </w:tabs>
        <w:numPr>
          <w:ilvl w:val="0"/>
          <w:numId w:val="27"/>
        </w:numPr>
        <w:rPr>
          <w:rFonts w:ascii="Arial" w:cs="Arial" w:eastAsia="Arial" w:hAnsi="Arial"/>
          <w:sz w:val="14"/>
          <w:szCs w:val="14"/>
          <w:color w:val="auto"/>
        </w:rPr>
      </w:pPr>
      <w:r>
        <w:rPr>
          <w:rFonts w:ascii="Arial" w:cs="Arial" w:eastAsia="Arial" w:hAnsi="Arial"/>
          <w:sz w:val="14"/>
          <w:szCs w:val="14"/>
          <w:color w:val="auto"/>
        </w:rPr>
        <w:t>Unvested Options to vest in full on May 10, 2027, subject to the NEO’s continued employment through such date. The vesting of these Options was also contingent upon the closing of an initial public offering or a change in control of the Company, which condition was satisfied in connection with the IPO.</w:t>
      </w:r>
    </w:p>
    <w:p>
      <w:pPr>
        <w:spacing w:after="0" w:line="1" w:lineRule="exact"/>
        <w:rPr>
          <w:rFonts w:ascii="Arial" w:cs="Arial" w:eastAsia="Arial" w:hAnsi="Arial"/>
          <w:sz w:val="14"/>
          <w:szCs w:val="14"/>
          <w:color w:val="auto"/>
        </w:rPr>
      </w:pPr>
    </w:p>
    <w:p>
      <w:pPr>
        <w:ind w:left="340" w:right="140" w:hanging="332"/>
        <w:spacing w:after="0" w:line="301" w:lineRule="auto"/>
        <w:tabs>
          <w:tab w:leader="none" w:pos="338" w:val="left"/>
        </w:tabs>
        <w:numPr>
          <w:ilvl w:val="0"/>
          <w:numId w:val="27"/>
        </w:numPr>
        <w:rPr>
          <w:rFonts w:ascii="Arial" w:cs="Arial" w:eastAsia="Arial" w:hAnsi="Arial"/>
          <w:sz w:val="14"/>
          <w:szCs w:val="14"/>
          <w:color w:val="auto"/>
        </w:rPr>
      </w:pPr>
      <w:r>
        <w:rPr>
          <w:rFonts w:ascii="Arial" w:cs="Arial" w:eastAsia="Arial" w:hAnsi="Arial"/>
          <w:sz w:val="14"/>
          <w:szCs w:val="14"/>
          <w:color w:val="auto"/>
        </w:rPr>
        <w:t>Unvested Options to vest in full on November 22, 2026, subject to the NEO’s continued employment through such date. The vesting of these Options was also contingent upon the closing of an initial public offering or a change in control of the Company, which condition was satisfied in connection with the IPO.</w:t>
      </w:r>
    </w:p>
    <w:p>
      <w:pPr>
        <w:spacing w:after="0" w:line="1" w:lineRule="exact"/>
        <w:rPr>
          <w:rFonts w:ascii="Arial" w:cs="Arial" w:eastAsia="Arial" w:hAnsi="Arial"/>
          <w:sz w:val="14"/>
          <w:szCs w:val="14"/>
          <w:color w:val="auto"/>
        </w:rPr>
      </w:pPr>
    </w:p>
    <w:p>
      <w:pPr>
        <w:ind w:left="340" w:right="20" w:hanging="332"/>
        <w:spacing w:after="0" w:line="285" w:lineRule="auto"/>
        <w:tabs>
          <w:tab w:leader="none" w:pos="338"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Represents the unvested portion of an award of 9,142 RSUs that vest in installments of 30%, 30% and 40% on April 15, 2025, the first and second anniversary of that date, subject to the NEO’s continuous employment with the Company through each vesting date.</w:t>
      </w:r>
    </w:p>
    <w:p>
      <w:pPr>
        <w:spacing w:after="0" w:line="9" w:lineRule="exact"/>
        <w:rPr>
          <w:rFonts w:ascii="Arial" w:cs="Arial" w:eastAsia="Arial" w:hAnsi="Arial"/>
          <w:sz w:val="14"/>
          <w:szCs w:val="14"/>
          <w:color w:val="auto"/>
        </w:rPr>
      </w:pPr>
    </w:p>
    <w:p>
      <w:pPr>
        <w:ind w:left="340" w:right="220" w:hanging="332"/>
        <w:spacing w:after="0" w:line="305" w:lineRule="auto"/>
        <w:tabs>
          <w:tab w:leader="none" w:pos="337" w:val="left"/>
        </w:tabs>
        <w:numPr>
          <w:ilvl w:val="0"/>
          <w:numId w:val="27"/>
        </w:numPr>
        <w:rPr>
          <w:rFonts w:ascii="Arial" w:cs="Arial" w:eastAsia="Arial" w:hAnsi="Arial"/>
          <w:sz w:val="14"/>
          <w:szCs w:val="14"/>
          <w:color w:val="auto"/>
        </w:rPr>
      </w:pPr>
      <w:r>
        <w:rPr>
          <w:rFonts w:ascii="Arial" w:cs="Arial" w:eastAsia="Arial" w:hAnsi="Arial"/>
          <w:sz w:val="14"/>
          <w:szCs w:val="14"/>
          <w:color w:val="auto"/>
        </w:rPr>
        <w:t>Unvested Options to vest in full on February 28, 2026, subject to the NEO’s continued employment through such date. The vesting of these Options was also contingent upon the closing of an initial public offering or a change in control of the Company, which condition was satisfied in connection with the IPO.</w:t>
      </w:r>
    </w:p>
    <w:p>
      <w:pPr>
        <w:spacing w:after="0" w:line="143" w:lineRule="exact"/>
        <w:rPr>
          <w:sz w:val="20"/>
          <w:szCs w:val="20"/>
          <w:color w:val="auto"/>
        </w:rPr>
      </w:pPr>
    </w:p>
    <w:p>
      <w:pPr>
        <w:spacing w:after="0"/>
        <w:rPr>
          <w:sz w:val="20"/>
          <w:szCs w:val="20"/>
          <w:color w:val="auto"/>
        </w:rPr>
      </w:pPr>
      <w:r>
        <w:rPr>
          <w:rFonts w:ascii="Arial" w:cs="Arial" w:eastAsia="Arial" w:hAnsi="Arial"/>
          <w:sz w:val="20"/>
          <w:szCs w:val="20"/>
          <w:b w:val="1"/>
          <w:bCs w:val="1"/>
          <w:color w:val="00DC64"/>
        </w:rPr>
        <w:t>STOCK VESTED IN THE 2025 FISCAL YEAR</w:t>
      </w:r>
    </w:p>
    <w:p>
      <w:pPr>
        <w:spacing w:after="0" w:line="185" w:lineRule="exact"/>
        <w:rPr>
          <w:sz w:val="20"/>
          <w:szCs w:val="20"/>
          <w:color w:val="auto"/>
        </w:rPr>
      </w:pPr>
    </w:p>
    <w:p>
      <w:pPr>
        <w:ind w:right="120"/>
        <w:spacing w:after="0" w:line="339" w:lineRule="auto"/>
        <w:rPr>
          <w:sz w:val="20"/>
          <w:szCs w:val="20"/>
          <w:color w:val="auto"/>
        </w:rPr>
      </w:pPr>
      <w:r>
        <w:rPr>
          <w:rFonts w:ascii="Arial" w:cs="Arial" w:eastAsia="Arial" w:hAnsi="Arial"/>
          <w:sz w:val="16"/>
          <w:szCs w:val="16"/>
          <w:color w:val="auto"/>
        </w:rPr>
        <w:t>The following table sets forth certain information with respect to the vesting of stock awards during the fiscal year ended 2025 with respect to our NEOs. No stock options were exercised by our NEOs during fiscal year 2025.</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300" w:type="dxa"/>
            <w:vAlign w:val="bottom"/>
          </w:tcPr>
          <w:p>
            <w:pPr>
              <w:spacing w:after="0"/>
              <w:rPr>
                <w:sz w:val="17"/>
                <w:szCs w:val="17"/>
                <w:color w:val="auto"/>
              </w:rPr>
            </w:pPr>
          </w:p>
        </w:tc>
        <w:tc>
          <w:tcPr>
            <w:tcW w:w="44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Stock Awards</w:t>
            </w:r>
          </w:p>
        </w:tc>
        <w:tc>
          <w:tcPr>
            <w:tcW w:w="2520" w:type="dxa"/>
            <w:vAlign w:val="bottom"/>
            <w:tcBorders>
              <w:bottom w:val="single" w:sz="8" w:color="auto"/>
            </w:tcBorders>
          </w:tcPr>
          <w:p>
            <w:pPr>
              <w:spacing w:after="0"/>
              <w:rPr>
                <w:sz w:val="17"/>
                <w:szCs w:val="17"/>
                <w:color w:val="auto"/>
              </w:rPr>
            </w:pPr>
          </w:p>
        </w:tc>
      </w:tr>
      <w:tr>
        <w:trPr>
          <w:trHeight w:val="193"/>
        </w:trPr>
        <w:tc>
          <w:tcPr>
            <w:tcW w:w="4300" w:type="dxa"/>
            <w:vAlign w:val="bottom"/>
          </w:tcPr>
          <w:p>
            <w:pPr>
              <w:spacing w:after="0"/>
              <w:rPr>
                <w:sz w:val="16"/>
                <w:szCs w:val="16"/>
                <w:color w:val="auto"/>
              </w:rPr>
            </w:pPr>
          </w:p>
        </w:tc>
        <w:tc>
          <w:tcPr>
            <w:tcW w:w="4420" w:type="dxa"/>
            <w:vAlign w:val="bottom"/>
          </w:tcPr>
          <w:p>
            <w:pPr>
              <w:jc w:val="right"/>
              <w:ind w:right="728"/>
              <w:spacing w:after="0" w:line="194" w:lineRule="exact"/>
              <w:rPr>
                <w:sz w:val="20"/>
                <w:szCs w:val="20"/>
                <w:color w:val="auto"/>
              </w:rPr>
            </w:pPr>
            <w:r>
              <w:rPr>
                <w:rFonts w:ascii="Arial" w:cs="Arial" w:eastAsia="Arial" w:hAnsi="Arial"/>
                <w:sz w:val="14"/>
                <w:szCs w:val="14"/>
                <w:b w:val="1"/>
                <w:bCs w:val="1"/>
                <w:color w:val="auto"/>
              </w:rPr>
              <w:t>Number of Shares Acquired on Vesting</w:t>
            </w:r>
            <w:r>
              <w:rPr>
                <w:rFonts w:ascii="Arial" w:cs="Arial" w:eastAsia="Arial" w:hAnsi="Arial"/>
                <w:sz w:val="18"/>
                <w:szCs w:val="18"/>
                <w:b w:val="1"/>
                <w:bCs w:val="1"/>
                <w:color w:val="auto"/>
                <w:vertAlign w:val="superscript"/>
              </w:rPr>
              <w:t>(1)</w:t>
            </w:r>
          </w:p>
        </w:tc>
        <w:tc>
          <w:tcPr>
            <w:tcW w:w="2520" w:type="dxa"/>
            <w:vAlign w:val="bottom"/>
          </w:tcPr>
          <w:p>
            <w:pPr>
              <w:jc w:val="right"/>
              <w:ind w:right="88"/>
              <w:spacing w:after="0" w:line="194" w:lineRule="exact"/>
              <w:rPr>
                <w:sz w:val="20"/>
                <w:szCs w:val="20"/>
                <w:color w:val="auto"/>
              </w:rPr>
            </w:pPr>
            <w:r>
              <w:rPr>
                <w:rFonts w:ascii="Arial" w:cs="Arial" w:eastAsia="Arial" w:hAnsi="Arial"/>
                <w:sz w:val="14"/>
                <w:szCs w:val="14"/>
                <w:b w:val="1"/>
                <w:bCs w:val="1"/>
                <w:color w:val="auto"/>
              </w:rPr>
              <w:t>Value Realized on Vesting</w:t>
            </w:r>
            <w:r>
              <w:rPr>
                <w:rFonts w:ascii="Arial" w:cs="Arial" w:eastAsia="Arial" w:hAnsi="Arial"/>
                <w:sz w:val="18"/>
                <w:szCs w:val="18"/>
                <w:b w:val="1"/>
                <w:bCs w:val="1"/>
                <w:color w:val="auto"/>
                <w:vertAlign w:val="superscript"/>
              </w:rPr>
              <w:t>(2)</w:t>
            </w:r>
          </w:p>
        </w:tc>
      </w:tr>
      <w:tr>
        <w:trPr>
          <w:trHeight w:val="196"/>
        </w:trPr>
        <w:tc>
          <w:tcPr>
            <w:tcW w:w="4300" w:type="dxa"/>
            <w:vAlign w:val="bottom"/>
          </w:tcPr>
          <w:p>
            <w:pPr>
              <w:ind w:left="100"/>
              <w:spacing w:after="0"/>
              <w:rPr>
                <w:sz w:val="20"/>
                <w:szCs w:val="20"/>
                <w:color w:val="auto"/>
              </w:rPr>
            </w:pPr>
            <w:r>
              <w:rPr>
                <w:rFonts w:ascii="Arial" w:cs="Arial" w:eastAsia="Arial" w:hAnsi="Arial"/>
                <w:sz w:val="14"/>
                <w:szCs w:val="14"/>
                <w:b w:val="1"/>
                <w:bCs w:val="1"/>
                <w:color w:val="auto"/>
              </w:rPr>
              <w:t>Name</w:t>
            </w:r>
          </w:p>
        </w:tc>
        <w:tc>
          <w:tcPr>
            <w:tcW w:w="4420" w:type="dxa"/>
            <w:vAlign w:val="bottom"/>
          </w:tcPr>
          <w:p>
            <w:pPr>
              <w:jc w:val="right"/>
              <w:ind w:right="728"/>
              <w:spacing w:after="0"/>
              <w:rPr>
                <w:sz w:val="20"/>
                <w:szCs w:val="20"/>
                <w:color w:val="auto"/>
              </w:rPr>
            </w:pPr>
            <w:r>
              <w:rPr>
                <w:rFonts w:ascii="Arial" w:cs="Arial" w:eastAsia="Arial" w:hAnsi="Arial"/>
                <w:sz w:val="14"/>
                <w:szCs w:val="14"/>
                <w:b w:val="1"/>
                <w:bCs w:val="1"/>
                <w:color w:val="auto"/>
              </w:rPr>
              <w:t>(#)</w:t>
            </w:r>
          </w:p>
        </w:tc>
        <w:tc>
          <w:tcPr>
            <w:tcW w:w="252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r>
      <w:tr>
        <w:trPr>
          <w:trHeight w:val="110"/>
        </w:trPr>
        <w:tc>
          <w:tcPr>
            <w:tcW w:w="4300" w:type="dxa"/>
            <w:vAlign w:val="bottom"/>
          </w:tcPr>
          <w:p>
            <w:pPr>
              <w:spacing w:after="0"/>
              <w:rPr>
                <w:sz w:val="9"/>
                <w:szCs w:val="9"/>
                <w:color w:val="auto"/>
              </w:rPr>
            </w:pPr>
          </w:p>
        </w:tc>
        <w:tc>
          <w:tcPr>
            <w:tcW w:w="4420" w:type="dxa"/>
            <w:vAlign w:val="bottom"/>
          </w:tcPr>
          <w:p>
            <w:pPr>
              <w:spacing w:after="0"/>
              <w:rPr>
                <w:sz w:val="9"/>
                <w:szCs w:val="9"/>
                <w:color w:val="auto"/>
              </w:rPr>
            </w:pPr>
          </w:p>
        </w:tc>
        <w:tc>
          <w:tcPr>
            <w:tcW w:w="2520" w:type="dxa"/>
            <w:vAlign w:val="bottom"/>
          </w:tcPr>
          <w:p>
            <w:pPr>
              <w:spacing w:after="0"/>
              <w:rPr>
                <w:sz w:val="9"/>
                <w:szCs w:val="9"/>
                <w:color w:val="auto"/>
              </w:rPr>
            </w:pPr>
          </w:p>
        </w:tc>
      </w:tr>
      <w:tr>
        <w:trPr>
          <w:trHeight w:val="230"/>
        </w:trPr>
        <w:tc>
          <w:tcPr>
            <w:tcW w:w="4300" w:type="dxa"/>
            <w:vAlign w:val="bottom"/>
            <w:shd w:val="clear" w:color="auto" w:fill="F1F2F2"/>
          </w:tcPr>
          <w:p>
            <w:pPr>
              <w:ind w:left="100"/>
              <w:spacing w:after="0"/>
              <w:rPr>
                <w:sz w:val="20"/>
                <w:szCs w:val="20"/>
                <w:color w:val="auto"/>
              </w:rPr>
            </w:pPr>
            <w:r>
              <w:rPr>
                <w:rFonts w:ascii="Arial" w:cs="Arial" w:eastAsia="Arial" w:hAnsi="Arial"/>
                <w:sz w:val="14"/>
                <w:szCs w:val="14"/>
                <w:b w:val="1"/>
                <w:bCs w:val="1"/>
                <w:color w:val="auto"/>
              </w:rPr>
              <w:t>Junkoo Kim</w:t>
            </w:r>
          </w:p>
        </w:tc>
        <w:tc>
          <w:tcPr>
            <w:tcW w:w="4420" w:type="dxa"/>
            <w:vAlign w:val="bottom"/>
            <w:shd w:val="clear" w:color="auto" w:fill="F1F2F2"/>
          </w:tcPr>
          <w:p>
            <w:pPr>
              <w:jc w:val="right"/>
              <w:ind w:right="728"/>
              <w:spacing w:after="0"/>
              <w:rPr>
                <w:sz w:val="20"/>
                <w:szCs w:val="20"/>
                <w:color w:val="auto"/>
              </w:rPr>
            </w:pPr>
            <w:r>
              <w:rPr>
                <w:rFonts w:ascii="Arial" w:cs="Arial" w:eastAsia="Arial" w:hAnsi="Arial"/>
                <w:sz w:val="14"/>
                <w:szCs w:val="14"/>
                <w:color w:val="auto"/>
              </w:rPr>
              <w:t>444,444</w:t>
            </w:r>
          </w:p>
        </w:tc>
        <w:tc>
          <w:tcPr>
            <w:tcW w:w="2520" w:type="dxa"/>
            <w:vAlign w:val="bottom"/>
            <w:shd w:val="clear" w:color="auto" w:fill="F1F2F2"/>
          </w:tcPr>
          <w:p>
            <w:pPr>
              <w:jc w:val="right"/>
              <w:ind w:right="148"/>
              <w:spacing w:after="0"/>
              <w:rPr>
                <w:sz w:val="20"/>
                <w:szCs w:val="20"/>
                <w:color w:val="auto"/>
              </w:rPr>
            </w:pPr>
            <w:r>
              <w:rPr>
                <w:rFonts w:ascii="Arial" w:cs="Arial" w:eastAsia="Arial" w:hAnsi="Arial"/>
                <w:sz w:val="14"/>
                <w:szCs w:val="14"/>
                <w:color w:val="auto"/>
              </w:rPr>
              <w:t>6,035,550</w:t>
            </w:r>
          </w:p>
        </w:tc>
      </w:tr>
      <w:tr>
        <w:trPr>
          <w:trHeight w:val="222"/>
        </w:trPr>
        <w:tc>
          <w:tcPr>
            <w:tcW w:w="4300" w:type="dxa"/>
            <w:vAlign w:val="bottom"/>
          </w:tcPr>
          <w:p>
            <w:pPr>
              <w:ind w:left="100"/>
              <w:spacing w:after="0"/>
              <w:rPr>
                <w:sz w:val="20"/>
                <w:szCs w:val="20"/>
                <w:color w:val="auto"/>
              </w:rPr>
            </w:pPr>
            <w:r>
              <w:rPr>
                <w:rFonts w:ascii="Arial" w:cs="Arial" w:eastAsia="Arial" w:hAnsi="Arial"/>
                <w:sz w:val="14"/>
                <w:szCs w:val="14"/>
                <w:b w:val="1"/>
                <w:bCs w:val="1"/>
                <w:color w:val="auto"/>
              </w:rPr>
              <w:t>David J. Lee</w:t>
            </w:r>
          </w:p>
        </w:tc>
        <w:tc>
          <w:tcPr>
            <w:tcW w:w="4420" w:type="dxa"/>
            <w:vAlign w:val="bottom"/>
          </w:tcPr>
          <w:p>
            <w:pPr>
              <w:jc w:val="right"/>
              <w:ind w:right="728"/>
              <w:spacing w:after="0"/>
              <w:rPr>
                <w:sz w:val="20"/>
                <w:szCs w:val="20"/>
                <w:color w:val="auto"/>
              </w:rPr>
            </w:pPr>
            <w:r>
              <w:rPr>
                <w:rFonts w:ascii="Arial" w:cs="Arial" w:eastAsia="Arial" w:hAnsi="Arial"/>
                <w:sz w:val="14"/>
                <w:szCs w:val="14"/>
                <w:color w:val="auto"/>
              </w:rPr>
              <w:t>99,861</w:t>
            </w:r>
          </w:p>
        </w:tc>
        <w:tc>
          <w:tcPr>
            <w:tcW w:w="2520" w:type="dxa"/>
            <w:vAlign w:val="bottom"/>
          </w:tcPr>
          <w:p>
            <w:pPr>
              <w:jc w:val="right"/>
              <w:ind w:right="148"/>
              <w:spacing w:after="0"/>
              <w:rPr>
                <w:sz w:val="20"/>
                <w:szCs w:val="20"/>
                <w:color w:val="auto"/>
              </w:rPr>
            </w:pPr>
            <w:r>
              <w:rPr>
                <w:rFonts w:ascii="Arial" w:cs="Arial" w:eastAsia="Arial" w:hAnsi="Arial"/>
                <w:sz w:val="14"/>
                <w:szCs w:val="14"/>
                <w:color w:val="auto"/>
              </w:rPr>
              <w:t>1,196,055</w:t>
            </w:r>
          </w:p>
        </w:tc>
      </w:tr>
      <w:tr>
        <w:trPr>
          <w:trHeight w:val="237"/>
        </w:trPr>
        <w:tc>
          <w:tcPr>
            <w:tcW w:w="4300" w:type="dxa"/>
            <w:vAlign w:val="bottom"/>
            <w:shd w:val="clear" w:color="auto" w:fill="F1F2F2"/>
          </w:tcPr>
          <w:p>
            <w:pPr>
              <w:ind w:left="100"/>
              <w:spacing w:after="0"/>
              <w:rPr>
                <w:sz w:val="20"/>
                <w:szCs w:val="20"/>
                <w:color w:val="auto"/>
              </w:rPr>
            </w:pPr>
            <w:r>
              <w:rPr>
                <w:rFonts w:ascii="Arial" w:cs="Arial" w:eastAsia="Arial" w:hAnsi="Arial"/>
                <w:sz w:val="14"/>
                <w:szCs w:val="14"/>
                <w:b w:val="1"/>
                <w:bCs w:val="1"/>
                <w:color w:val="auto"/>
              </w:rPr>
              <w:t>Chankyu Park</w:t>
            </w:r>
          </w:p>
        </w:tc>
        <w:tc>
          <w:tcPr>
            <w:tcW w:w="4420" w:type="dxa"/>
            <w:vAlign w:val="bottom"/>
            <w:shd w:val="clear" w:color="auto" w:fill="F1F2F2"/>
          </w:tcPr>
          <w:p>
            <w:pPr>
              <w:jc w:val="right"/>
              <w:ind w:right="728"/>
              <w:spacing w:after="0"/>
              <w:rPr>
                <w:sz w:val="20"/>
                <w:szCs w:val="20"/>
                <w:color w:val="auto"/>
              </w:rPr>
            </w:pPr>
            <w:r>
              <w:rPr>
                <w:rFonts w:ascii="Arial" w:cs="Arial" w:eastAsia="Arial" w:hAnsi="Arial"/>
                <w:sz w:val="14"/>
                <w:szCs w:val="14"/>
                <w:color w:val="auto"/>
              </w:rPr>
              <w:t>37,773</w:t>
            </w:r>
          </w:p>
        </w:tc>
        <w:tc>
          <w:tcPr>
            <w:tcW w:w="2520" w:type="dxa"/>
            <w:vAlign w:val="bottom"/>
            <w:shd w:val="clear" w:color="auto" w:fill="F1F2F2"/>
          </w:tcPr>
          <w:p>
            <w:pPr>
              <w:jc w:val="right"/>
              <w:ind w:right="148"/>
              <w:spacing w:after="0"/>
              <w:rPr>
                <w:sz w:val="20"/>
                <w:szCs w:val="20"/>
                <w:color w:val="auto"/>
              </w:rPr>
            </w:pPr>
            <w:r>
              <w:rPr>
                <w:rFonts w:ascii="Arial" w:cs="Arial" w:eastAsia="Arial" w:hAnsi="Arial"/>
                <w:sz w:val="14"/>
                <w:szCs w:val="14"/>
                <w:color w:val="auto"/>
              </w:rPr>
              <w:t>338,702</w:t>
            </w:r>
          </w:p>
        </w:tc>
      </w:tr>
      <w:tr>
        <w:trPr>
          <w:trHeight w:val="222"/>
        </w:trPr>
        <w:tc>
          <w:tcPr>
            <w:tcW w:w="4300" w:type="dxa"/>
            <w:vAlign w:val="bottom"/>
          </w:tcPr>
          <w:p>
            <w:pPr>
              <w:ind w:left="100"/>
              <w:spacing w:after="0"/>
              <w:rPr>
                <w:sz w:val="20"/>
                <w:szCs w:val="20"/>
                <w:color w:val="auto"/>
              </w:rPr>
            </w:pPr>
            <w:r>
              <w:rPr>
                <w:rFonts w:ascii="Arial" w:cs="Arial" w:eastAsia="Arial" w:hAnsi="Arial"/>
                <w:sz w:val="14"/>
                <w:szCs w:val="14"/>
                <w:b w:val="1"/>
                <w:bCs w:val="1"/>
                <w:color w:val="auto"/>
              </w:rPr>
              <w:t>Yongsoo Kim</w:t>
            </w:r>
          </w:p>
        </w:tc>
        <w:tc>
          <w:tcPr>
            <w:tcW w:w="4420" w:type="dxa"/>
            <w:vAlign w:val="bottom"/>
          </w:tcPr>
          <w:p>
            <w:pPr>
              <w:jc w:val="right"/>
              <w:ind w:right="728"/>
              <w:spacing w:after="0"/>
              <w:rPr>
                <w:sz w:val="20"/>
                <w:szCs w:val="20"/>
                <w:color w:val="auto"/>
              </w:rPr>
            </w:pPr>
            <w:r>
              <w:rPr>
                <w:rFonts w:ascii="Arial" w:cs="Arial" w:eastAsia="Arial" w:hAnsi="Arial"/>
                <w:sz w:val="14"/>
                <w:szCs w:val="14"/>
                <w:color w:val="auto"/>
              </w:rPr>
              <w:t>39,147</w:t>
            </w:r>
          </w:p>
        </w:tc>
        <w:tc>
          <w:tcPr>
            <w:tcW w:w="2520" w:type="dxa"/>
            <w:vAlign w:val="bottom"/>
          </w:tcPr>
          <w:p>
            <w:pPr>
              <w:jc w:val="right"/>
              <w:ind w:right="148"/>
              <w:spacing w:after="0"/>
              <w:rPr>
                <w:sz w:val="20"/>
                <w:szCs w:val="20"/>
                <w:color w:val="auto"/>
              </w:rPr>
            </w:pPr>
            <w:r>
              <w:rPr>
                <w:rFonts w:ascii="Arial" w:cs="Arial" w:eastAsia="Arial" w:hAnsi="Arial"/>
                <w:sz w:val="14"/>
                <w:szCs w:val="14"/>
                <w:color w:val="auto"/>
              </w:rPr>
              <w:t>349,805</w:t>
            </w:r>
          </w:p>
        </w:tc>
      </w:tr>
      <w:tr>
        <w:trPr>
          <w:trHeight w:val="231"/>
        </w:trPr>
        <w:tc>
          <w:tcPr>
            <w:tcW w:w="4300" w:type="dxa"/>
            <w:vAlign w:val="bottom"/>
            <w:tcBorders>
              <w:bottom w:val="single" w:sz="8" w:color="auto"/>
            </w:tcBorders>
            <w:shd w:val="clear" w:color="auto" w:fill="F1F2F2"/>
          </w:tcPr>
          <w:p>
            <w:pPr>
              <w:ind w:left="100"/>
              <w:spacing w:after="0"/>
              <w:rPr>
                <w:sz w:val="20"/>
                <w:szCs w:val="20"/>
                <w:color w:val="auto"/>
              </w:rPr>
            </w:pPr>
            <w:r>
              <w:rPr>
                <w:rFonts w:ascii="Arial" w:cs="Arial" w:eastAsia="Arial" w:hAnsi="Arial"/>
                <w:sz w:val="14"/>
                <w:szCs w:val="14"/>
                <w:b w:val="1"/>
                <w:bCs w:val="1"/>
                <w:color w:val="auto"/>
              </w:rPr>
              <w:t>Hyeeun Son</w:t>
            </w:r>
          </w:p>
        </w:tc>
        <w:tc>
          <w:tcPr>
            <w:tcW w:w="4420" w:type="dxa"/>
            <w:vAlign w:val="bottom"/>
            <w:tcBorders>
              <w:bottom w:val="single" w:sz="8" w:color="auto"/>
            </w:tcBorders>
            <w:shd w:val="clear" w:color="auto" w:fill="F1F2F2"/>
          </w:tcPr>
          <w:p>
            <w:pPr>
              <w:jc w:val="right"/>
              <w:ind w:right="728"/>
              <w:spacing w:after="0"/>
              <w:rPr>
                <w:sz w:val="20"/>
                <w:szCs w:val="20"/>
                <w:color w:val="auto"/>
              </w:rPr>
            </w:pPr>
            <w:r>
              <w:rPr>
                <w:rFonts w:ascii="Arial" w:cs="Arial" w:eastAsia="Arial" w:hAnsi="Arial"/>
                <w:sz w:val="14"/>
                <w:szCs w:val="14"/>
                <w:color w:val="auto"/>
              </w:rPr>
              <w:t>27,205</w:t>
            </w:r>
          </w:p>
        </w:tc>
        <w:tc>
          <w:tcPr>
            <w:tcW w:w="2520" w:type="dxa"/>
            <w:vAlign w:val="bottom"/>
            <w:tcBorders>
              <w:bottom w:val="single" w:sz="8" w:color="auto"/>
            </w:tcBorders>
            <w:shd w:val="clear" w:color="auto" w:fill="F1F2F2"/>
          </w:tcPr>
          <w:p>
            <w:pPr>
              <w:jc w:val="right"/>
              <w:ind w:right="148"/>
              <w:spacing w:after="0"/>
              <w:rPr>
                <w:sz w:val="20"/>
                <w:szCs w:val="20"/>
                <w:color w:val="auto"/>
              </w:rPr>
            </w:pPr>
            <w:r>
              <w:rPr>
                <w:rFonts w:ascii="Arial" w:cs="Arial" w:eastAsia="Arial" w:hAnsi="Arial"/>
                <w:sz w:val="14"/>
                <w:szCs w:val="14"/>
                <w:color w:val="auto"/>
              </w:rPr>
              <w:t>243,630</w:t>
            </w:r>
          </w:p>
        </w:tc>
      </w:tr>
    </w:tbl>
    <w:p>
      <w:pPr>
        <w:spacing w:after="0" w:line="139" w:lineRule="exact"/>
        <w:rPr>
          <w:sz w:val="20"/>
          <w:szCs w:val="20"/>
          <w:color w:val="auto"/>
        </w:rPr>
      </w:pPr>
    </w:p>
    <w:p>
      <w:pPr>
        <w:ind w:left="340" w:right="340" w:hanging="332"/>
        <w:spacing w:after="0" w:line="285" w:lineRule="auto"/>
        <w:tabs>
          <w:tab w:leader="none" w:pos="338"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Represents the gross number of shares of our common stock acquired by the applicable NEO during fiscal year 2025 upon the vesting of such NEO’s applicable stock award, without reduction for any shares withheld to satisfy applicable tax withholdings.</w:t>
      </w:r>
    </w:p>
    <w:p>
      <w:pPr>
        <w:spacing w:after="0" w:line="9" w:lineRule="exact"/>
        <w:rPr>
          <w:rFonts w:ascii="Arial" w:cs="Arial" w:eastAsia="Arial" w:hAnsi="Arial"/>
          <w:sz w:val="14"/>
          <w:szCs w:val="14"/>
          <w:color w:val="auto"/>
        </w:rPr>
      </w:pPr>
    </w:p>
    <w:p>
      <w:pPr>
        <w:ind w:left="340" w:hanging="332"/>
        <w:spacing w:after="0"/>
        <w:tabs>
          <w:tab w:leader="none" w:pos="3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value realized upon vesting is calculated based on the share price on the date of vesting.</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0"/>
        <w:spacing w:after="0"/>
        <w:tabs>
          <w:tab w:leader="none" w:pos="5360" w:val="left"/>
        </w:tabs>
        <w:rPr>
          <w:sz w:val="20"/>
          <w:szCs w:val="20"/>
          <w:color w:val="auto"/>
        </w:rPr>
      </w:pPr>
      <w:r>
        <w:rPr>
          <w:rFonts w:ascii="Arial" w:cs="Arial" w:eastAsia="Arial" w:hAnsi="Arial"/>
          <w:sz w:val="14"/>
          <w:szCs w:val="14"/>
          <w:b w:val="1"/>
          <w:bCs w:val="1"/>
          <w:color w:val="auto"/>
        </w:rPr>
        <w:t>38</w:t>
      </w:r>
      <w:r>
        <w:rPr>
          <w:sz w:val="20"/>
          <w:szCs w:val="20"/>
          <w:color w:val="auto"/>
        </w:rPr>
        <w:tab/>
      </w:r>
      <w:r>
        <w:rPr>
          <w:sz w:val="1"/>
          <w:szCs w:val="1"/>
          <w:color w:val="auto"/>
        </w:rPr>
        <w:drawing>
          <wp:inline distT="0" distB="0" distL="0" distR="0">
            <wp:extent cx="282575" cy="274320"/>
            <wp:effectExtent l="0" t="0" r="0" b="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82575" cy="274320"/>
                    </a:xfrm>
                    <a:prstGeom prst="rect">
                      <a:avLst/>
                    </a:prstGeom>
                    <a:noFill/>
                    <a:ln>
                      <a:noFill/>
                    </a:ln>
                  </pic:spPr>
                </pic:pic>
              </a:graphicData>
            </a:graphic>
          </wp:inline>
        </w:drawing>
      </w:r>
      <w:r>
        <w:rPr>
          <w:rFonts w:ascii="Arial" w:cs="Arial" w:eastAsia="Arial" w:hAnsi="Arial"/>
          <w:sz w:val="14"/>
          <w:szCs w:val="14"/>
          <w:b w:val="1"/>
          <w:bCs w:val="1"/>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20"/>
          <w:szCs w:val="20"/>
          <w:b w:val="1"/>
          <w:bCs w:val="1"/>
          <w:color w:val="00DC64"/>
        </w:rPr>
        <w:t>POTENTIAL PAYMENTS UPON TERMINATION OR CHANGE IN CONTROL</w:t>
      </w:r>
    </w:p>
    <w:p>
      <w:pPr>
        <w:spacing w:after="0" w:line="198"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Each of our Named Executive Officers except David J. Lee participate in the NAVER WEBTOON Severance Pay Policy for Executives, which provides for severance pay upon termination of employment due to “resignation” or death if the Named Executive Officer has been employed for at least one year at the time of such termination. For purposes of the Severance Pay Policy for Executives, “resignation” includes termination by either the Company or the executive for any reason and expiration of the executive’s term of office. We have the ability to reduce the severance pay in the event that a Named Executive Officer is terminated due to sanctions, for reasons attributable to the employee (such as failure to achieve business goals or lack of competence and leadership), or damage is caused to the Company or the Company’s reputation due to the Named Executive Officer’s intent, gross negligence or immoral conduct. The severance is payable in a lump sum in an amount equal to the product of (a) the sum of the Named Executive Officer’s (i) total base pay and allowances paid by NAVER WEBTOON for the three months prior to the resignation date, divided by three, plus (ii) the annual incentive compensation paid by NAVER WEBTOON for the year prior to the resignation date, divided by 12, multiplied by (b) the number of whole and partial months the Named Executive Officer was employed by the Company, multiplied by (c) two (the “Severance Pay”). For Named Executive Officers (other than David J. Lee) employed less than one year, we provide a severance incentive arrangement that is calculated in the same way as the severance pay mentioned above. In addition, the Company may pay a discretionary additional bonus of up to 50% of the Severance Pay in recognition of any extraordinary contributions of the Named Executive Officer during employment, as determined by the Board for the CEO and by the CEO for all other participating officers. The Severance Pay Policy for Executives does not provide for enhanced severance or benefits in connection with a change in control.</w:t>
      </w:r>
    </w:p>
    <w:p>
      <w:pPr>
        <w:spacing w:after="0" w:line="136" w:lineRule="exact"/>
        <w:rPr>
          <w:sz w:val="20"/>
          <w:szCs w:val="20"/>
          <w:color w:val="auto"/>
        </w:rPr>
      </w:pPr>
    </w:p>
    <w:p>
      <w:pPr>
        <w:ind w:right="60"/>
        <w:spacing w:after="0" w:line="299" w:lineRule="auto"/>
        <w:rPr>
          <w:sz w:val="20"/>
          <w:szCs w:val="20"/>
          <w:color w:val="auto"/>
        </w:rPr>
      </w:pPr>
      <w:r>
        <w:rPr>
          <w:rFonts w:ascii="Arial" w:cs="Arial" w:eastAsia="Arial" w:hAnsi="Arial"/>
          <w:sz w:val="16"/>
          <w:szCs w:val="16"/>
          <w:color w:val="auto"/>
        </w:rPr>
        <w:t>In addition to Junkoo Kim’s entitlements under the Severance Pay Policy for Executives, the Kim Employment Agreement entitles Junkoo Kim to severance benefits if we terminate Mr. Kim without “cause” (which does not include termination due to Mr. Kim’s death or disability) or Mr. Kim resigns with “good reason” (as each of those terms is defined in the Kim Employment Agreement), in each case, subject to Mr. Kim’s execution of a general release. If such qualifying termination does not occur within 12 months following a “change in control” (as defined in the Kim Employment Agreement), Mr. Kim is entitled to receive: (a) a lump sum payment equal to six months of his then-current annual salary under the Kim Employment Agreement, and (b) reimbursement of a portion of the continuation coverage premiums under the Company’s health and welfare benefits for six months following the termination date. If such qualifying termination occurs within 12 months following a “change in control,” Mr. Kim is entitled to receive: (a) a lump sum payment equal to twelve months of his then-current annual salary under the Kim Employment Agreement, (b) reimbursement of a portion of the continuation coverage premiums under the Company’s health and welfare benefits for twelve months following the termination date, (c) a lump sum payment equal to his target annual bonus under the Kim Employment Agreement, prorated for the portion of the fiscal year elapsed as of Mr. Kim’s termination date, and (d) accelerated vesting of 100% of Mr. Kim’s unvested restricted stock units.</w:t>
      </w:r>
    </w:p>
    <w:p>
      <w:pPr>
        <w:spacing w:after="0" w:line="138" w:lineRule="exact"/>
        <w:rPr>
          <w:sz w:val="20"/>
          <w:szCs w:val="20"/>
          <w:color w:val="auto"/>
        </w:rPr>
      </w:pPr>
    </w:p>
    <w:p>
      <w:pPr>
        <w:ind w:right="40"/>
        <w:spacing w:after="0" w:line="300" w:lineRule="auto"/>
        <w:rPr>
          <w:sz w:val="20"/>
          <w:szCs w:val="20"/>
          <w:color w:val="auto"/>
        </w:rPr>
      </w:pPr>
      <w:r>
        <w:rPr>
          <w:rFonts w:ascii="Arial" w:cs="Arial" w:eastAsia="Arial" w:hAnsi="Arial"/>
          <w:sz w:val="16"/>
          <w:szCs w:val="16"/>
          <w:color w:val="auto"/>
        </w:rPr>
        <w:t>The executive employment agreement for David J. Lee provides for the following severance benefits if we terminate Mr. Lee without “cause” (which does not include termination due to Mr. Lee’s “disability”) or Mr. Lee resigns with “good reason” (as each of those terms is defined in Mr. Lee’s executive employment agreement), subject to Mr. Lee’s execution of a release of claims: (a) a lump sum payment equal to twelve months of his then-current annual salary, (b) a lump sum payment equal to his target annual bonus, prorated for the portion of the fiscal year elapsed as of Mr. Lee’s termination date, (c) payment of any earned but unpaid annual bonus on the normal payment date, (d) reimbursement of a portion of the continuation coverage premiums under the Company’s health and welfare benefits for twelve months following the termination date, and (e) if such termination or resignation occurs within 12 months following a “change in control” (as defined in Mr. Lee’s employment agreement), any unvested portion of the restricted stock unit award and stock option award granted to Mr. Lee on November 22, 2023 will fully vest.</w:t>
      </w:r>
    </w:p>
    <w:p>
      <w:pPr>
        <w:spacing w:after="0" w:line="131" w:lineRule="exact"/>
        <w:rPr>
          <w:sz w:val="20"/>
          <w:szCs w:val="20"/>
          <w:color w:val="auto"/>
        </w:rPr>
      </w:pPr>
    </w:p>
    <w:p>
      <w:pPr>
        <w:ind w:right="80"/>
        <w:spacing w:after="0" w:line="310" w:lineRule="auto"/>
        <w:rPr>
          <w:sz w:val="20"/>
          <w:szCs w:val="20"/>
          <w:color w:val="auto"/>
        </w:rPr>
      </w:pPr>
      <w:r>
        <w:rPr>
          <w:rFonts w:ascii="Arial" w:cs="Arial" w:eastAsia="Arial" w:hAnsi="Arial"/>
          <w:sz w:val="16"/>
          <w:szCs w:val="16"/>
          <w:color w:val="auto"/>
        </w:rPr>
        <w:t>For each NEO other than David J. Lee, in the event the NEO terminates employment during the applicable fiscal year for any reason other than “cause,” the NEO would be entitled to payment of a prorated amount of the Excess Budget Payment as calculated on the date of termination, prorated based on time worked during the applicable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310515</wp:posOffset>
            </wp:positionV>
            <wp:extent cx="282575" cy="2743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82575"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280" w:type="dxa"/>
            <w:vAlign w:val="bottom"/>
          </w:tcPr>
          <w:p>
            <w:pPr>
              <w:ind w:left="20"/>
              <w:spacing w:after="0"/>
              <w:rPr>
                <w:sz w:val="20"/>
                <w:szCs w:val="20"/>
                <w:color w:val="auto"/>
              </w:rPr>
            </w:pPr>
            <w:r>
              <w:rPr>
                <w:rFonts w:ascii="Arial" w:cs="Arial" w:eastAsia="Arial" w:hAnsi="Arial"/>
                <w:sz w:val="14"/>
                <w:szCs w:val="14"/>
                <w:b w:val="1"/>
                <w:bCs w:val="1"/>
                <w:color w:val="auto"/>
              </w:rPr>
              <w:t>2026 Proxy Statement</w:t>
            </w:r>
          </w:p>
        </w:tc>
        <w:tc>
          <w:tcPr>
            <w:tcW w:w="4960" w:type="dxa"/>
            <w:vAlign w:val="bottom"/>
          </w:tcPr>
          <w:p>
            <w:pPr>
              <w:jc w:val="right"/>
              <w:spacing w:after="0"/>
              <w:rPr>
                <w:sz w:val="20"/>
                <w:szCs w:val="20"/>
                <w:color w:val="auto"/>
              </w:rPr>
            </w:pPr>
            <w:r>
              <w:rPr>
                <w:rFonts w:ascii="Arial" w:cs="Arial" w:eastAsia="Arial" w:hAnsi="Arial"/>
                <w:sz w:val="14"/>
                <w:szCs w:val="14"/>
                <w:b w:val="1"/>
                <w:bCs w:val="1"/>
                <w:color w:val="auto"/>
              </w:rPr>
              <w:t>39</w:t>
            </w:r>
          </w:p>
        </w:tc>
      </w:tr>
      <w:tr>
        <w:trPr>
          <w:trHeight w:val="360"/>
        </w:trPr>
        <w:tc>
          <w:tcPr>
            <w:tcW w:w="6280" w:type="dxa"/>
            <w:vAlign w:val="bottom"/>
            <w:tcBorders>
              <w:bottom w:val="single" w:sz="8" w:color="9A9A9A"/>
            </w:tcBorders>
          </w:tcPr>
          <w:p>
            <w:pPr>
              <w:spacing w:after="0"/>
              <w:rPr>
                <w:sz w:val="24"/>
                <w:szCs w:val="24"/>
                <w:color w:val="auto"/>
              </w:rPr>
            </w:pPr>
          </w:p>
        </w:tc>
        <w:tc>
          <w:tcPr>
            <w:tcW w:w="4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3" w:name="page44"/>
    <w:bookmarkEnd w:id="43"/>
    <w:p>
      <w:pPr>
        <w:ind w:left="10120"/>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right="540"/>
        <w:spacing w:after="0" w:line="339" w:lineRule="auto"/>
        <w:rPr>
          <w:sz w:val="20"/>
          <w:szCs w:val="20"/>
          <w:color w:val="auto"/>
        </w:rPr>
      </w:pPr>
      <w:r>
        <w:rPr>
          <w:rFonts w:ascii="Arial" w:cs="Arial" w:eastAsia="Arial" w:hAnsi="Arial"/>
          <w:sz w:val="16"/>
          <w:szCs w:val="16"/>
          <w:color w:val="auto"/>
        </w:rPr>
        <w:t>The following table provides information regarding potential payments to our NEOs as of December 31, 2025 in connection with certain termination or change in control events.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420" w:type="dxa"/>
            <w:vAlign w:val="bottom"/>
          </w:tcPr>
          <w:p>
            <w:pPr>
              <w:jc w:val="right"/>
              <w:ind w:right="88"/>
              <w:spacing w:after="0"/>
              <w:rPr>
                <w:sz w:val="20"/>
                <w:szCs w:val="20"/>
                <w:color w:val="auto"/>
              </w:rPr>
            </w:pPr>
            <w:r>
              <w:rPr>
                <w:rFonts w:ascii="Arial" w:cs="Arial" w:eastAsia="Arial" w:hAnsi="Arial"/>
                <w:sz w:val="14"/>
                <w:szCs w:val="14"/>
                <w:b w:val="1"/>
                <w:bCs w:val="1"/>
                <w:color w:val="auto"/>
              </w:rPr>
              <w:t>Termination by the Company</w:t>
            </w:r>
          </w:p>
        </w:tc>
      </w:tr>
      <w:tr>
        <w:trPr>
          <w:trHeight w:val="176"/>
        </w:trPr>
        <w:tc>
          <w:tcPr>
            <w:tcW w:w="37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120" w:type="dxa"/>
            <w:vAlign w:val="bottom"/>
          </w:tcPr>
          <w:p>
            <w:pPr>
              <w:jc w:val="right"/>
              <w:spacing w:after="0"/>
              <w:rPr>
                <w:sz w:val="20"/>
                <w:szCs w:val="20"/>
                <w:color w:val="auto"/>
              </w:rPr>
            </w:pPr>
            <w:r>
              <w:rPr>
                <w:rFonts w:ascii="Arial" w:cs="Arial" w:eastAsia="Arial" w:hAnsi="Arial"/>
                <w:sz w:val="14"/>
                <w:szCs w:val="14"/>
                <w:b w:val="1"/>
                <w:bCs w:val="1"/>
                <w:color w:val="auto"/>
              </w:rPr>
              <w:t>Termination by the Company</w:t>
            </w:r>
          </w:p>
        </w:tc>
        <w:tc>
          <w:tcPr>
            <w:tcW w:w="1340" w:type="dxa"/>
            <w:vAlign w:val="bottom"/>
          </w:tcPr>
          <w:p>
            <w:pPr>
              <w:spacing w:after="0"/>
              <w:rPr>
                <w:sz w:val="15"/>
                <w:szCs w:val="15"/>
                <w:color w:val="auto"/>
              </w:rPr>
            </w:pPr>
          </w:p>
        </w:tc>
        <w:tc>
          <w:tcPr>
            <w:tcW w:w="2420" w:type="dxa"/>
            <w:vAlign w:val="bottom"/>
          </w:tcPr>
          <w:p>
            <w:pPr>
              <w:jc w:val="right"/>
              <w:ind w:right="88"/>
              <w:spacing w:after="0"/>
              <w:rPr>
                <w:sz w:val="20"/>
                <w:szCs w:val="20"/>
                <w:color w:val="auto"/>
              </w:rPr>
            </w:pPr>
            <w:r>
              <w:rPr>
                <w:rFonts w:ascii="Arial" w:cs="Arial" w:eastAsia="Arial" w:hAnsi="Arial"/>
                <w:sz w:val="14"/>
                <w:szCs w:val="14"/>
                <w:b w:val="1"/>
                <w:bCs w:val="1"/>
                <w:color w:val="auto"/>
              </w:rPr>
              <w:t>without Cause or by the NEO for</w:t>
            </w:r>
          </w:p>
        </w:tc>
      </w:tr>
      <w:tr>
        <w:trPr>
          <w:trHeight w:val="176"/>
        </w:trPr>
        <w:tc>
          <w:tcPr>
            <w:tcW w:w="37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b w:val="1"/>
                <w:bCs w:val="1"/>
                <w:color w:val="auto"/>
              </w:rPr>
              <w:t>Termination Due to</w:t>
            </w:r>
          </w:p>
        </w:tc>
        <w:tc>
          <w:tcPr>
            <w:tcW w:w="2120" w:type="dxa"/>
            <w:vAlign w:val="bottom"/>
          </w:tcPr>
          <w:p>
            <w:pPr>
              <w:jc w:val="right"/>
              <w:spacing w:after="0"/>
              <w:rPr>
                <w:sz w:val="20"/>
                <w:szCs w:val="20"/>
                <w:color w:val="auto"/>
              </w:rPr>
            </w:pPr>
            <w:r>
              <w:rPr>
                <w:rFonts w:ascii="Arial" w:cs="Arial" w:eastAsia="Arial" w:hAnsi="Arial"/>
                <w:sz w:val="14"/>
                <w:szCs w:val="14"/>
                <w:b w:val="1"/>
                <w:bCs w:val="1"/>
                <w:color w:val="auto"/>
              </w:rPr>
              <w:t>without Cause or by the NEO</w:t>
            </w:r>
          </w:p>
        </w:tc>
        <w:tc>
          <w:tcPr>
            <w:tcW w:w="1340" w:type="dxa"/>
            <w:vAlign w:val="bottom"/>
          </w:tcPr>
          <w:p>
            <w:pPr>
              <w:spacing w:after="0"/>
              <w:rPr>
                <w:sz w:val="15"/>
                <w:szCs w:val="15"/>
                <w:color w:val="auto"/>
              </w:rPr>
            </w:pPr>
          </w:p>
        </w:tc>
        <w:tc>
          <w:tcPr>
            <w:tcW w:w="2420" w:type="dxa"/>
            <w:vAlign w:val="bottom"/>
          </w:tcPr>
          <w:p>
            <w:pPr>
              <w:jc w:val="right"/>
              <w:ind w:right="88"/>
              <w:spacing w:after="0"/>
              <w:rPr>
                <w:sz w:val="20"/>
                <w:szCs w:val="20"/>
                <w:color w:val="auto"/>
              </w:rPr>
            </w:pPr>
            <w:r>
              <w:rPr>
                <w:rFonts w:ascii="Arial" w:cs="Arial" w:eastAsia="Arial" w:hAnsi="Arial"/>
                <w:sz w:val="14"/>
                <w:szCs w:val="14"/>
                <w:b w:val="1"/>
                <w:bCs w:val="1"/>
                <w:color w:val="auto"/>
              </w:rPr>
              <w:t>Good Reason Following a</w:t>
            </w:r>
          </w:p>
        </w:tc>
      </w:tr>
      <w:tr>
        <w:trPr>
          <w:trHeight w:val="162"/>
        </w:trPr>
        <w:tc>
          <w:tcPr>
            <w:tcW w:w="378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4"/>
                <w:szCs w:val="14"/>
                <w:b w:val="1"/>
                <w:bCs w:val="1"/>
                <w:color w:val="auto"/>
              </w:rPr>
              <w:t>Death or Disability</w:t>
            </w:r>
          </w:p>
        </w:tc>
        <w:tc>
          <w:tcPr>
            <w:tcW w:w="2120" w:type="dxa"/>
            <w:vAlign w:val="bottom"/>
          </w:tcPr>
          <w:p>
            <w:pPr>
              <w:jc w:val="right"/>
              <w:spacing w:after="0"/>
              <w:rPr>
                <w:sz w:val="20"/>
                <w:szCs w:val="20"/>
                <w:color w:val="auto"/>
              </w:rPr>
            </w:pPr>
            <w:r>
              <w:rPr>
                <w:rFonts w:ascii="Arial" w:cs="Arial" w:eastAsia="Arial" w:hAnsi="Arial"/>
                <w:sz w:val="14"/>
                <w:szCs w:val="14"/>
                <w:b w:val="1"/>
                <w:bCs w:val="1"/>
                <w:color w:val="auto"/>
              </w:rPr>
              <w:t>for Good Reason</w:t>
            </w:r>
          </w:p>
        </w:tc>
        <w:tc>
          <w:tcPr>
            <w:tcW w:w="1340" w:type="dxa"/>
            <w:vAlign w:val="bottom"/>
          </w:tcPr>
          <w:p>
            <w:pPr>
              <w:ind w:left="20"/>
              <w:spacing w:after="0"/>
              <w:rPr>
                <w:sz w:val="20"/>
                <w:szCs w:val="20"/>
                <w:color w:val="auto"/>
              </w:rPr>
            </w:pPr>
            <w:r>
              <w:rPr>
                <w:rFonts w:ascii="Arial" w:cs="Arial" w:eastAsia="Arial" w:hAnsi="Arial"/>
                <w:sz w:val="14"/>
                <w:szCs w:val="14"/>
                <w:b w:val="1"/>
                <w:bCs w:val="1"/>
                <w:color w:val="auto"/>
              </w:rPr>
              <w:t>Change in Control</w:t>
            </w:r>
          </w:p>
        </w:tc>
        <w:tc>
          <w:tcPr>
            <w:tcW w:w="2420" w:type="dxa"/>
            <w:vAlign w:val="bottom"/>
          </w:tcPr>
          <w:p>
            <w:pPr>
              <w:jc w:val="right"/>
              <w:ind w:right="128"/>
              <w:spacing w:after="0"/>
              <w:rPr>
                <w:sz w:val="20"/>
                <w:szCs w:val="20"/>
                <w:color w:val="auto"/>
              </w:rPr>
            </w:pPr>
            <w:r>
              <w:rPr>
                <w:rFonts w:ascii="Arial" w:cs="Arial" w:eastAsia="Arial" w:hAnsi="Arial"/>
                <w:sz w:val="14"/>
                <w:szCs w:val="14"/>
                <w:b w:val="1"/>
                <w:bCs w:val="1"/>
                <w:color w:val="auto"/>
              </w:rPr>
              <w:t>Change in Control</w:t>
            </w:r>
          </w:p>
        </w:tc>
      </w:tr>
      <w:tr>
        <w:trPr>
          <w:trHeight w:val="265"/>
        </w:trPr>
        <w:tc>
          <w:tcPr>
            <w:tcW w:w="3780" w:type="dxa"/>
            <w:vAlign w:val="bottom"/>
          </w:tcPr>
          <w:p>
            <w:pPr>
              <w:ind w:left="100"/>
              <w:spacing w:after="0"/>
              <w:rPr>
                <w:sz w:val="20"/>
                <w:szCs w:val="20"/>
                <w:color w:val="auto"/>
              </w:rPr>
            </w:pPr>
            <w:r>
              <w:rPr>
                <w:rFonts w:ascii="Arial" w:cs="Arial" w:eastAsia="Arial" w:hAnsi="Arial"/>
                <w:sz w:val="14"/>
                <w:szCs w:val="14"/>
                <w:b w:val="1"/>
                <w:bCs w:val="1"/>
                <w:color w:val="auto"/>
              </w:rPr>
              <w:t>Benefits and Payments upon Termination</w:t>
            </w:r>
            <w:r>
              <w:rPr>
                <w:rFonts w:ascii="Arial" w:cs="Arial" w:eastAsia="Arial" w:hAnsi="Arial"/>
                <w:sz w:val="18"/>
                <w:szCs w:val="18"/>
                <w:b w:val="1"/>
                <w:bCs w:val="1"/>
                <w:color w:val="auto"/>
                <w:vertAlign w:val="superscript"/>
              </w:rPr>
              <w:t>(1)</w:t>
            </w:r>
          </w:p>
        </w:tc>
        <w:tc>
          <w:tcPr>
            <w:tcW w:w="15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340" w:type="dxa"/>
            <w:vAlign w:val="bottom"/>
          </w:tcPr>
          <w:p>
            <w:pPr>
              <w:ind w:left="1140"/>
              <w:spacing w:after="0"/>
              <w:rPr>
                <w:sz w:val="20"/>
                <w:szCs w:val="20"/>
                <w:color w:val="auto"/>
              </w:rPr>
            </w:pPr>
            <w:r>
              <w:rPr>
                <w:rFonts w:ascii="Arial" w:cs="Arial" w:eastAsia="Arial" w:hAnsi="Arial"/>
                <w:sz w:val="14"/>
                <w:szCs w:val="14"/>
                <w:b w:val="1"/>
                <w:bCs w:val="1"/>
                <w:color w:val="auto"/>
              </w:rPr>
              <w:t>($)</w:t>
            </w:r>
          </w:p>
        </w:tc>
        <w:tc>
          <w:tcPr>
            <w:tcW w:w="242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r>
      <w:tr>
        <w:trPr>
          <w:trHeight w:val="55"/>
        </w:trPr>
        <w:tc>
          <w:tcPr>
            <w:tcW w:w="3780" w:type="dxa"/>
            <w:vAlign w:val="bottom"/>
          </w:tcPr>
          <w:p>
            <w:pPr>
              <w:spacing w:after="0"/>
              <w:rPr>
                <w:sz w:val="4"/>
                <w:szCs w:val="4"/>
                <w:color w:val="auto"/>
              </w:rPr>
            </w:pPr>
          </w:p>
        </w:tc>
        <w:tc>
          <w:tcPr>
            <w:tcW w:w="1580" w:type="dxa"/>
            <w:vAlign w:val="bottom"/>
          </w:tcPr>
          <w:p>
            <w:pPr>
              <w:spacing w:after="0"/>
              <w:rPr>
                <w:sz w:val="4"/>
                <w:szCs w:val="4"/>
                <w:color w:val="auto"/>
              </w:rPr>
            </w:pPr>
          </w:p>
        </w:tc>
        <w:tc>
          <w:tcPr>
            <w:tcW w:w="21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420" w:type="dxa"/>
            <w:vAlign w:val="bottom"/>
          </w:tcPr>
          <w:p>
            <w:pPr>
              <w:spacing w:after="0"/>
              <w:rPr>
                <w:sz w:val="4"/>
                <w:szCs w:val="4"/>
                <w:color w:val="auto"/>
              </w:rPr>
            </w:pPr>
          </w:p>
        </w:tc>
      </w:tr>
      <w:tr>
        <w:trPr>
          <w:trHeight w:val="214"/>
        </w:trPr>
        <w:tc>
          <w:tcPr>
            <w:tcW w:w="3780" w:type="dxa"/>
            <w:vAlign w:val="bottom"/>
            <w:shd w:val="clear" w:color="auto" w:fill="F1F2F2"/>
          </w:tcPr>
          <w:p>
            <w:pPr>
              <w:ind w:left="100"/>
              <w:spacing w:after="0"/>
              <w:rPr>
                <w:sz w:val="20"/>
                <w:szCs w:val="20"/>
                <w:color w:val="auto"/>
              </w:rPr>
            </w:pPr>
            <w:r>
              <w:rPr>
                <w:rFonts w:ascii="Arial" w:cs="Arial" w:eastAsia="Arial" w:hAnsi="Arial"/>
                <w:sz w:val="14"/>
                <w:szCs w:val="14"/>
                <w:b w:val="1"/>
                <w:bCs w:val="1"/>
                <w:color w:val="auto"/>
              </w:rPr>
              <w:t>Junkoo Kim</w:t>
            </w:r>
          </w:p>
        </w:tc>
        <w:tc>
          <w:tcPr>
            <w:tcW w:w="1580" w:type="dxa"/>
            <w:vAlign w:val="bottom"/>
            <w:shd w:val="clear" w:color="auto" w:fill="F1F2F2"/>
          </w:tcPr>
          <w:p>
            <w:pPr>
              <w:spacing w:after="0"/>
              <w:rPr>
                <w:sz w:val="18"/>
                <w:szCs w:val="18"/>
                <w:color w:val="auto"/>
              </w:rPr>
            </w:pPr>
          </w:p>
        </w:tc>
        <w:tc>
          <w:tcPr>
            <w:tcW w:w="2120" w:type="dxa"/>
            <w:vAlign w:val="bottom"/>
            <w:shd w:val="clear" w:color="auto" w:fill="F1F2F2"/>
          </w:tcPr>
          <w:p>
            <w:pPr>
              <w:spacing w:after="0"/>
              <w:rPr>
                <w:sz w:val="18"/>
                <w:szCs w:val="18"/>
                <w:color w:val="auto"/>
              </w:rPr>
            </w:pPr>
          </w:p>
        </w:tc>
        <w:tc>
          <w:tcPr>
            <w:tcW w:w="1340" w:type="dxa"/>
            <w:vAlign w:val="bottom"/>
            <w:shd w:val="clear" w:color="auto" w:fill="F1F2F2"/>
          </w:tcPr>
          <w:p>
            <w:pPr>
              <w:spacing w:after="0"/>
              <w:rPr>
                <w:sz w:val="18"/>
                <w:szCs w:val="18"/>
                <w:color w:val="auto"/>
              </w:rPr>
            </w:pPr>
          </w:p>
        </w:tc>
        <w:tc>
          <w:tcPr>
            <w:tcW w:w="2420" w:type="dxa"/>
            <w:vAlign w:val="bottom"/>
            <w:shd w:val="clear" w:color="auto" w:fill="F1F2F2"/>
          </w:tcPr>
          <w:p>
            <w:pPr>
              <w:spacing w:after="0"/>
              <w:rPr>
                <w:sz w:val="18"/>
                <w:szCs w:val="18"/>
                <w:color w:val="auto"/>
              </w:rPr>
            </w:pPr>
          </w:p>
        </w:tc>
      </w:tr>
      <w:tr>
        <w:trPr>
          <w:trHeight w:val="245"/>
        </w:trPr>
        <w:tc>
          <w:tcPr>
            <w:tcW w:w="3780" w:type="dxa"/>
            <w:vAlign w:val="bottom"/>
            <w:shd w:val="clear" w:color="auto" w:fill="F1F2F2"/>
          </w:tcPr>
          <w:p>
            <w:pPr>
              <w:ind w:left="100"/>
              <w:spacing w:after="0"/>
              <w:rPr>
                <w:sz w:val="20"/>
                <w:szCs w:val="20"/>
                <w:color w:val="auto"/>
              </w:rPr>
            </w:pPr>
            <w:r>
              <w:rPr>
                <w:rFonts w:ascii="Arial" w:cs="Arial" w:eastAsia="Arial" w:hAnsi="Arial"/>
                <w:sz w:val="14"/>
                <w:szCs w:val="14"/>
                <w:color w:val="auto"/>
              </w:rPr>
              <w:t>Cash Severance Payments</w:t>
            </w:r>
            <w:r>
              <w:rPr>
                <w:rFonts w:ascii="Arial" w:cs="Arial" w:eastAsia="Arial" w:hAnsi="Arial"/>
                <w:sz w:val="18"/>
                <w:szCs w:val="18"/>
                <w:color w:val="auto"/>
                <w:vertAlign w:val="superscript"/>
              </w:rPr>
              <w:t>(2)</w:t>
            </w:r>
          </w:p>
        </w:tc>
        <w:tc>
          <w:tcPr>
            <w:tcW w:w="1580" w:type="dxa"/>
            <w:vAlign w:val="bottom"/>
            <w:shd w:val="clear" w:color="auto" w:fill="F1F2F2"/>
          </w:tcPr>
          <w:p>
            <w:pPr>
              <w:jc w:val="right"/>
              <w:ind w:right="8"/>
              <w:spacing w:after="0"/>
              <w:rPr>
                <w:sz w:val="20"/>
                <w:szCs w:val="20"/>
                <w:color w:val="auto"/>
              </w:rPr>
            </w:pPr>
            <w:r>
              <w:rPr>
                <w:rFonts w:ascii="Arial" w:cs="Arial" w:eastAsia="Arial" w:hAnsi="Arial"/>
                <w:sz w:val="14"/>
                <w:szCs w:val="14"/>
                <w:color w:val="auto"/>
              </w:rPr>
              <w:t>160,771</w:t>
            </w:r>
          </w:p>
        </w:tc>
        <w:tc>
          <w:tcPr>
            <w:tcW w:w="2120" w:type="dxa"/>
            <w:vAlign w:val="bottom"/>
            <w:shd w:val="clear" w:color="auto" w:fill="F1F2F2"/>
          </w:tcPr>
          <w:p>
            <w:pPr>
              <w:jc w:val="right"/>
              <w:ind w:right="8"/>
              <w:spacing w:after="0"/>
              <w:rPr>
                <w:sz w:val="20"/>
                <w:szCs w:val="20"/>
                <w:color w:val="auto"/>
              </w:rPr>
            </w:pPr>
            <w:r>
              <w:rPr>
                <w:rFonts w:ascii="Arial" w:cs="Arial" w:eastAsia="Arial" w:hAnsi="Arial"/>
                <w:sz w:val="14"/>
                <w:szCs w:val="14"/>
                <w:color w:val="auto"/>
              </w:rPr>
              <w:t>400,771</w:t>
            </w:r>
          </w:p>
        </w:tc>
        <w:tc>
          <w:tcPr>
            <w:tcW w:w="1340" w:type="dxa"/>
            <w:vAlign w:val="bottom"/>
            <w:shd w:val="clear" w:color="auto" w:fill="F1F2F2"/>
          </w:tcPr>
          <w:p>
            <w:pPr>
              <w:ind w:left="1120"/>
              <w:spacing w:after="0"/>
              <w:rPr>
                <w:sz w:val="20"/>
                <w:szCs w:val="20"/>
                <w:color w:val="auto"/>
              </w:rPr>
            </w:pPr>
            <w:r>
              <w:rPr>
                <w:rFonts w:ascii="Arial" w:cs="Arial" w:eastAsia="Arial" w:hAnsi="Arial"/>
                <w:sz w:val="14"/>
                <w:szCs w:val="14"/>
                <w:color w:val="auto"/>
              </w:rPr>
              <w:t>—</w:t>
            </w:r>
          </w:p>
        </w:tc>
        <w:tc>
          <w:tcPr>
            <w:tcW w:w="2420" w:type="dxa"/>
            <w:vAlign w:val="bottom"/>
            <w:shd w:val="clear" w:color="auto" w:fill="F1F2F2"/>
          </w:tcPr>
          <w:p>
            <w:pPr>
              <w:jc w:val="right"/>
              <w:ind w:right="148"/>
              <w:spacing w:after="0"/>
              <w:rPr>
                <w:sz w:val="20"/>
                <w:szCs w:val="20"/>
                <w:color w:val="auto"/>
              </w:rPr>
            </w:pPr>
            <w:r>
              <w:rPr>
                <w:rFonts w:ascii="Arial" w:cs="Arial" w:eastAsia="Arial" w:hAnsi="Arial"/>
                <w:sz w:val="14"/>
                <w:szCs w:val="14"/>
                <w:color w:val="auto"/>
              </w:rPr>
              <w:t>1,210,771</w:t>
            </w:r>
          </w:p>
        </w:tc>
      </w:tr>
      <w:tr>
        <w:trPr>
          <w:trHeight w:val="208"/>
        </w:trPr>
        <w:tc>
          <w:tcPr>
            <w:tcW w:w="3780" w:type="dxa"/>
            <w:vAlign w:val="bottom"/>
            <w:shd w:val="clear" w:color="auto" w:fill="F1F2F2"/>
          </w:tcPr>
          <w:p>
            <w:pPr>
              <w:ind w:left="100"/>
              <w:spacing w:after="0"/>
              <w:rPr>
                <w:sz w:val="20"/>
                <w:szCs w:val="20"/>
                <w:color w:val="auto"/>
              </w:rPr>
            </w:pPr>
            <w:r>
              <w:rPr>
                <w:rFonts w:ascii="Arial" w:cs="Arial" w:eastAsia="Arial" w:hAnsi="Arial"/>
                <w:sz w:val="14"/>
                <w:szCs w:val="14"/>
                <w:color w:val="auto"/>
              </w:rPr>
              <w:t>Accelerated Vesting of Equity Awards</w:t>
            </w:r>
          </w:p>
        </w:tc>
        <w:tc>
          <w:tcPr>
            <w:tcW w:w="1580" w:type="dxa"/>
            <w:vAlign w:val="bottom"/>
            <w:shd w:val="clear" w:color="auto" w:fill="F1F2F2"/>
          </w:tcPr>
          <w:p>
            <w:pPr>
              <w:jc w:val="right"/>
              <w:ind w:right="8"/>
              <w:spacing w:after="0"/>
              <w:rPr>
                <w:sz w:val="20"/>
                <w:szCs w:val="20"/>
                <w:color w:val="auto"/>
              </w:rPr>
            </w:pPr>
            <w:r>
              <w:rPr>
                <w:rFonts w:ascii="Arial" w:cs="Arial" w:eastAsia="Arial" w:hAnsi="Arial"/>
                <w:sz w:val="14"/>
                <w:szCs w:val="14"/>
                <w:color w:val="auto"/>
              </w:rPr>
              <w:t>—</w:t>
            </w:r>
          </w:p>
        </w:tc>
        <w:tc>
          <w:tcPr>
            <w:tcW w:w="2120" w:type="dxa"/>
            <w:vAlign w:val="bottom"/>
            <w:shd w:val="clear" w:color="auto" w:fill="F1F2F2"/>
          </w:tcPr>
          <w:p>
            <w:pPr>
              <w:jc w:val="right"/>
              <w:ind w:right="8"/>
              <w:spacing w:after="0"/>
              <w:rPr>
                <w:sz w:val="20"/>
                <w:szCs w:val="20"/>
                <w:color w:val="auto"/>
              </w:rPr>
            </w:pPr>
            <w:r>
              <w:rPr>
                <w:rFonts w:ascii="Arial" w:cs="Arial" w:eastAsia="Arial" w:hAnsi="Arial"/>
                <w:sz w:val="14"/>
                <w:szCs w:val="14"/>
                <w:color w:val="auto"/>
              </w:rPr>
              <w:t>—</w:t>
            </w:r>
          </w:p>
        </w:tc>
        <w:tc>
          <w:tcPr>
            <w:tcW w:w="1340" w:type="dxa"/>
            <w:vAlign w:val="bottom"/>
            <w:shd w:val="clear" w:color="auto" w:fill="F1F2F2"/>
          </w:tcPr>
          <w:p>
            <w:pPr>
              <w:ind w:left="1120"/>
              <w:spacing w:after="0"/>
              <w:rPr>
                <w:sz w:val="20"/>
                <w:szCs w:val="20"/>
                <w:color w:val="auto"/>
              </w:rPr>
            </w:pPr>
            <w:r>
              <w:rPr>
                <w:rFonts w:ascii="Arial" w:cs="Arial" w:eastAsia="Arial" w:hAnsi="Arial"/>
                <w:sz w:val="14"/>
                <w:szCs w:val="14"/>
                <w:color w:val="auto"/>
              </w:rPr>
              <w:t>—</w:t>
            </w:r>
          </w:p>
        </w:tc>
        <w:tc>
          <w:tcPr>
            <w:tcW w:w="2420" w:type="dxa"/>
            <w:vAlign w:val="bottom"/>
            <w:shd w:val="clear" w:color="auto" w:fill="F1F2F2"/>
          </w:tcPr>
          <w:p>
            <w:pPr>
              <w:jc w:val="right"/>
              <w:ind w:right="148"/>
              <w:spacing w:after="0"/>
              <w:rPr>
                <w:sz w:val="20"/>
                <w:szCs w:val="20"/>
                <w:color w:val="auto"/>
              </w:rPr>
            </w:pPr>
            <w:r>
              <w:rPr>
                <w:rFonts w:ascii="Arial" w:cs="Arial" w:eastAsia="Arial" w:hAnsi="Arial"/>
                <w:sz w:val="14"/>
                <w:szCs w:val="14"/>
                <w:color w:val="auto"/>
              </w:rPr>
              <w:t>—</w:t>
            </w:r>
          </w:p>
        </w:tc>
      </w:tr>
      <w:tr>
        <w:trPr>
          <w:trHeight w:val="251"/>
        </w:trPr>
        <w:tc>
          <w:tcPr>
            <w:tcW w:w="3780" w:type="dxa"/>
            <w:vAlign w:val="bottom"/>
            <w:shd w:val="clear" w:color="auto" w:fill="F1F2F2"/>
          </w:tcPr>
          <w:p>
            <w:pPr>
              <w:ind w:left="100"/>
              <w:spacing w:after="0"/>
              <w:rPr>
                <w:sz w:val="20"/>
                <w:szCs w:val="20"/>
                <w:color w:val="auto"/>
              </w:rPr>
            </w:pPr>
            <w:r>
              <w:rPr>
                <w:rFonts w:ascii="Arial" w:cs="Arial" w:eastAsia="Arial" w:hAnsi="Arial"/>
                <w:sz w:val="14"/>
                <w:szCs w:val="14"/>
                <w:color w:val="auto"/>
              </w:rPr>
              <w:t>COBRA Payments</w:t>
            </w:r>
            <w:r>
              <w:rPr>
                <w:rFonts w:ascii="Arial" w:cs="Arial" w:eastAsia="Arial" w:hAnsi="Arial"/>
                <w:sz w:val="18"/>
                <w:szCs w:val="18"/>
                <w:color w:val="auto"/>
                <w:vertAlign w:val="superscript"/>
              </w:rPr>
              <w:t>(3)</w:t>
            </w:r>
          </w:p>
        </w:tc>
        <w:tc>
          <w:tcPr>
            <w:tcW w:w="1580" w:type="dxa"/>
            <w:vAlign w:val="bottom"/>
            <w:shd w:val="clear" w:color="auto" w:fill="F1F2F2"/>
          </w:tcPr>
          <w:p>
            <w:pPr>
              <w:jc w:val="right"/>
              <w:ind w:right="8"/>
              <w:spacing w:after="0"/>
              <w:rPr>
                <w:sz w:val="20"/>
                <w:szCs w:val="20"/>
                <w:color w:val="auto"/>
              </w:rPr>
            </w:pPr>
            <w:r>
              <w:rPr>
                <w:rFonts w:ascii="Arial" w:cs="Arial" w:eastAsia="Arial" w:hAnsi="Arial"/>
                <w:sz w:val="14"/>
                <w:szCs w:val="14"/>
                <w:color w:val="auto"/>
              </w:rPr>
              <w:t>—</w:t>
            </w:r>
          </w:p>
        </w:tc>
        <w:tc>
          <w:tcPr>
            <w:tcW w:w="2120" w:type="dxa"/>
            <w:vAlign w:val="bottom"/>
            <w:shd w:val="clear" w:color="auto" w:fill="F1F2F2"/>
          </w:tcPr>
          <w:p>
            <w:pPr>
              <w:jc w:val="right"/>
              <w:ind w:right="8"/>
              <w:spacing w:after="0"/>
              <w:rPr>
                <w:sz w:val="20"/>
                <w:szCs w:val="20"/>
                <w:color w:val="auto"/>
              </w:rPr>
            </w:pPr>
            <w:r>
              <w:rPr>
                <w:rFonts w:ascii="Arial" w:cs="Arial" w:eastAsia="Arial" w:hAnsi="Arial"/>
                <w:sz w:val="14"/>
                <w:szCs w:val="14"/>
                <w:color w:val="auto"/>
              </w:rPr>
              <w:t>8,417</w:t>
            </w:r>
          </w:p>
        </w:tc>
        <w:tc>
          <w:tcPr>
            <w:tcW w:w="1340" w:type="dxa"/>
            <w:vAlign w:val="bottom"/>
            <w:shd w:val="clear" w:color="auto" w:fill="F1F2F2"/>
          </w:tcPr>
          <w:p>
            <w:pPr>
              <w:ind w:left="1120"/>
              <w:spacing w:after="0"/>
              <w:rPr>
                <w:sz w:val="20"/>
                <w:szCs w:val="20"/>
                <w:color w:val="auto"/>
              </w:rPr>
            </w:pPr>
            <w:r>
              <w:rPr>
                <w:rFonts w:ascii="Arial" w:cs="Arial" w:eastAsia="Arial" w:hAnsi="Arial"/>
                <w:sz w:val="14"/>
                <w:szCs w:val="14"/>
                <w:color w:val="auto"/>
              </w:rPr>
              <w:t>—</w:t>
            </w:r>
          </w:p>
        </w:tc>
        <w:tc>
          <w:tcPr>
            <w:tcW w:w="2420" w:type="dxa"/>
            <w:vAlign w:val="bottom"/>
            <w:shd w:val="clear" w:color="auto" w:fill="F1F2F2"/>
          </w:tcPr>
          <w:p>
            <w:pPr>
              <w:jc w:val="right"/>
              <w:ind w:right="148"/>
              <w:spacing w:after="0"/>
              <w:rPr>
                <w:sz w:val="20"/>
                <w:szCs w:val="20"/>
                <w:color w:val="auto"/>
              </w:rPr>
            </w:pPr>
            <w:r>
              <w:rPr>
                <w:rFonts w:ascii="Arial" w:cs="Arial" w:eastAsia="Arial" w:hAnsi="Arial"/>
                <w:sz w:val="14"/>
                <w:szCs w:val="14"/>
                <w:color w:val="auto"/>
              </w:rPr>
              <w:t>16,834</w:t>
            </w:r>
          </w:p>
        </w:tc>
      </w:tr>
      <w:tr>
        <w:trPr>
          <w:trHeight w:val="214"/>
        </w:trPr>
        <w:tc>
          <w:tcPr>
            <w:tcW w:w="3780" w:type="dxa"/>
            <w:vAlign w:val="bottom"/>
          </w:tcPr>
          <w:p>
            <w:pPr>
              <w:ind w:left="100"/>
              <w:spacing w:after="0"/>
              <w:rPr>
                <w:sz w:val="20"/>
                <w:szCs w:val="20"/>
                <w:color w:val="auto"/>
              </w:rPr>
            </w:pPr>
            <w:r>
              <w:rPr>
                <w:rFonts w:ascii="Arial" w:cs="Arial" w:eastAsia="Arial" w:hAnsi="Arial"/>
                <w:sz w:val="14"/>
                <w:szCs w:val="14"/>
                <w:b w:val="1"/>
                <w:bCs w:val="1"/>
                <w:color w:val="auto"/>
              </w:rPr>
              <w:t>David J. Lee</w:t>
            </w:r>
          </w:p>
        </w:tc>
        <w:tc>
          <w:tcPr>
            <w:tcW w:w="15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260"/>
        </w:trPr>
        <w:tc>
          <w:tcPr>
            <w:tcW w:w="3780" w:type="dxa"/>
            <w:vAlign w:val="bottom"/>
          </w:tcPr>
          <w:p>
            <w:pPr>
              <w:ind w:left="100"/>
              <w:spacing w:after="0"/>
              <w:rPr>
                <w:sz w:val="20"/>
                <w:szCs w:val="20"/>
                <w:color w:val="auto"/>
              </w:rPr>
            </w:pPr>
            <w:r>
              <w:rPr>
                <w:rFonts w:ascii="Arial" w:cs="Arial" w:eastAsia="Arial" w:hAnsi="Arial"/>
                <w:sz w:val="14"/>
                <w:szCs w:val="14"/>
                <w:color w:val="auto"/>
              </w:rPr>
              <w:t>Cash Severance Payments</w:t>
            </w:r>
            <w:r>
              <w:rPr>
                <w:rFonts w:ascii="Arial" w:cs="Arial" w:eastAsia="Arial" w:hAnsi="Arial"/>
                <w:sz w:val="18"/>
                <w:szCs w:val="18"/>
                <w:color w:val="auto"/>
                <w:vertAlign w:val="superscript"/>
              </w:rPr>
              <w:t>(2)</w:t>
            </w:r>
          </w:p>
        </w:tc>
        <w:tc>
          <w:tcPr>
            <w:tcW w:w="15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120" w:type="dxa"/>
            <w:vAlign w:val="bottom"/>
          </w:tcPr>
          <w:p>
            <w:pPr>
              <w:jc w:val="right"/>
              <w:ind w:right="8"/>
              <w:spacing w:after="0"/>
              <w:rPr>
                <w:sz w:val="20"/>
                <w:szCs w:val="20"/>
                <w:color w:val="auto"/>
              </w:rPr>
            </w:pPr>
            <w:r>
              <w:rPr>
                <w:rFonts w:ascii="Arial" w:cs="Arial" w:eastAsia="Arial" w:hAnsi="Arial"/>
                <w:sz w:val="14"/>
                <w:szCs w:val="14"/>
                <w:color w:val="auto"/>
              </w:rPr>
              <w:t>1,000,000</w:t>
            </w:r>
          </w:p>
        </w:tc>
        <w:tc>
          <w:tcPr>
            <w:tcW w:w="1340" w:type="dxa"/>
            <w:vAlign w:val="bottom"/>
          </w:tcPr>
          <w:p>
            <w:pPr>
              <w:ind w:left="1120"/>
              <w:spacing w:after="0"/>
              <w:rPr>
                <w:sz w:val="20"/>
                <w:szCs w:val="20"/>
                <w:color w:val="auto"/>
              </w:rPr>
            </w:pPr>
            <w:r>
              <w:rPr>
                <w:rFonts w:ascii="Arial" w:cs="Arial" w:eastAsia="Arial" w:hAnsi="Arial"/>
                <w:sz w:val="14"/>
                <w:szCs w:val="14"/>
                <w:color w:val="auto"/>
              </w:rPr>
              <w:t>—</w:t>
            </w:r>
          </w:p>
        </w:tc>
        <w:tc>
          <w:tcPr>
            <w:tcW w:w="2420" w:type="dxa"/>
            <w:vAlign w:val="bottom"/>
          </w:tcPr>
          <w:p>
            <w:pPr>
              <w:jc w:val="right"/>
              <w:ind w:right="148"/>
              <w:spacing w:after="0"/>
              <w:rPr>
                <w:sz w:val="20"/>
                <w:szCs w:val="20"/>
                <w:color w:val="auto"/>
              </w:rPr>
            </w:pPr>
            <w:r>
              <w:rPr>
                <w:rFonts w:ascii="Arial" w:cs="Arial" w:eastAsia="Arial" w:hAnsi="Arial"/>
                <w:sz w:val="14"/>
                <w:szCs w:val="14"/>
                <w:color w:val="auto"/>
              </w:rPr>
              <w:t>1,000,000</w:t>
            </w:r>
          </w:p>
        </w:tc>
      </w:tr>
      <w:tr>
        <w:trPr>
          <w:trHeight w:val="230"/>
        </w:trPr>
        <w:tc>
          <w:tcPr>
            <w:tcW w:w="3780" w:type="dxa"/>
            <w:vAlign w:val="bottom"/>
          </w:tcPr>
          <w:p>
            <w:pPr>
              <w:ind w:left="100"/>
              <w:spacing w:after="0"/>
              <w:rPr>
                <w:sz w:val="20"/>
                <w:szCs w:val="20"/>
                <w:color w:val="auto"/>
              </w:rPr>
            </w:pPr>
            <w:r>
              <w:rPr>
                <w:rFonts w:ascii="Arial" w:cs="Arial" w:eastAsia="Arial" w:hAnsi="Arial"/>
                <w:sz w:val="14"/>
                <w:szCs w:val="14"/>
                <w:color w:val="auto"/>
              </w:rPr>
              <w:t>Accelerated Vesting of Equity Awards</w:t>
            </w:r>
          </w:p>
        </w:tc>
        <w:tc>
          <w:tcPr>
            <w:tcW w:w="15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1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40" w:type="dxa"/>
            <w:vAlign w:val="bottom"/>
          </w:tcPr>
          <w:p>
            <w:pPr>
              <w:ind w:left="1120"/>
              <w:spacing w:after="0"/>
              <w:rPr>
                <w:sz w:val="20"/>
                <w:szCs w:val="20"/>
                <w:color w:val="auto"/>
              </w:rPr>
            </w:pPr>
            <w:r>
              <w:rPr>
                <w:rFonts w:ascii="Arial" w:cs="Arial" w:eastAsia="Arial" w:hAnsi="Arial"/>
                <w:sz w:val="14"/>
                <w:szCs w:val="14"/>
                <w:color w:val="auto"/>
              </w:rPr>
              <w:t>—</w:t>
            </w:r>
          </w:p>
        </w:tc>
        <w:tc>
          <w:tcPr>
            <w:tcW w:w="2420" w:type="dxa"/>
            <w:vAlign w:val="bottom"/>
          </w:tcPr>
          <w:p>
            <w:pPr>
              <w:jc w:val="right"/>
              <w:ind w:right="88"/>
              <w:spacing w:after="0"/>
              <w:rPr>
                <w:sz w:val="20"/>
                <w:szCs w:val="20"/>
                <w:color w:val="auto"/>
              </w:rPr>
            </w:pPr>
            <w:r>
              <w:rPr>
                <w:rFonts w:ascii="Arial" w:cs="Arial" w:eastAsia="Arial" w:hAnsi="Arial"/>
                <w:sz w:val="14"/>
                <w:szCs w:val="14"/>
                <w:color w:val="auto"/>
              </w:rPr>
              <w:t>309,085</w:t>
            </w:r>
            <w:r>
              <w:rPr>
                <w:rFonts w:ascii="Arial" w:cs="Arial" w:eastAsia="Arial" w:hAnsi="Arial"/>
                <w:sz w:val="18"/>
                <w:szCs w:val="18"/>
                <w:color w:val="auto"/>
                <w:vertAlign w:val="superscript"/>
              </w:rPr>
              <w:t>(4)</w:t>
            </w:r>
          </w:p>
        </w:tc>
      </w:tr>
      <w:tr>
        <w:trPr>
          <w:trHeight w:val="214"/>
        </w:trPr>
        <w:tc>
          <w:tcPr>
            <w:tcW w:w="3780" w:type="dxa"/>
            <w:vAlign w:val="bottom"/>
          </w:tcPr>
          <w:p>
            <w:pPr>
              <w:ind w:left="100"/>
              <w:spacing w:after="0"/>
              <w:rPr>
                <w:sz w:val="20"/>
                <w:szCs w:val="20"/>
                <w:color w:val="auto"/>
              </w:rPr>
            </w:pPr>
            <w:r>
              <w:rPr>
                <w:rFonts w:ascii="Arial" w:cs="Arial" w:eastAsia="Arial" w:hAnsi="Arial"/>
                <w:sz w:val="14"/>
                <w:szCs w:val="14"/>
                <w:color w:val="auto"/>
              </w:rPr>
              <w:t>COBRA Payments</w:t>
            </w:r>
            <w:r>
              <w:rPr>
                <w:rFonts w:ascii="Arial" w:cs="Arial" w:eastAsia="Arial" w:hAnsi="Arial"/>
                <w:sz w:val="18"/>
                <w:szCs w:val="18"/>
                <w:color w:val="auto"/>
                <w:vertAlign w:val="superscript"/>
              </w:rPr>
              <w:t>(3)</w:t>
            </w:r>
          </w:p>
        </w:tc>
        <w:tc>
          <w:tcPr>
            <w:tcW w:w="15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120" w:type="dxa"/>
            <w:vAlign w:val="bottom"/>
          </w:tcPr>
          <w:p>
            <w:pPr>
              <w:jc w:val="right"/>
              <w:ind w:right="8"/>
              <w:spacing w:after="0"/>
              <w:rPr>
                <w:sz w:val="20"/>
                <w:szCs w:val="20"/>
                <w:color w:val="auto"/>
              </w:rPr>
            </w:pPr>
            <w:r>
              <w:rPr>
                <w:rFonts w:ascii="Arial" w:cs="Arial" w:eastAsia="Arial" w:hAnsi="Arial"/>
                <w:sz w:val="14"/>
                <w:szCs w:val="14"/>
                <w:color w:val="auto"/>
              </w:rPr>
              <w:t>26,706</w:t>
            </w:r>
          </w:p>
        </w:tc>
        <w:tc>
          <w:tcPr>
            <w:tcW w:w="1340" w:type="dxa"/>
            <w:vAlign w:val="bottom"/>
          </w:tcPr>
          <w:p>
            <w:pPr>
              <w:ind w:left="1120"/>
              <w:spacing w:after="0"/>
              <w:rPr>
                <w:sz w:val="20"/>
                <w:szCs w:val="20"/>
                <w:color w:val="auto"/>
              </w:rPr>
            </w:pPr>
            <w:r>
              <w:rPr>
                <w:rFonts w:ascii="Arial" w:cs="Arial" w:eastAsia="Arial" w:hAnsi="Arial"/>
                <w:sz w:val="14"/>
                <w:szCs w:val="14"/>
                <w:color w:val="auto"/>
              </w:rPr>
              <w:t>—</w:t>
            </w:r>
          </w:p>
        </w:tc>
        <w:tc>
          <w:tcPr>
            <w:tcW w:w="2420" w:type="dxa"/>
            <w:vAlign w:val="bottom"/>
          </w:tcPr>
          <w:p>
            <w:pPr>
              <w:jc w:val="right"/>
              <w:ind w:right="148"/>
              <w:spacing w:after="0"/>
              <w:rPr>
                <w:sz w:val="20"/>
                <w:szCs w:val="20"/>
                <w:color w:val="auto"/>
              </w:rPr>
            </w:pPr>
            <w:r>
              <w:rPr>
                <w:rFonts w:ascii="Arial" w:cs="Arial" w:eastAsia="Arial" w:hAnsi="Arial"/>
                <w:sz w:val="14"/>
                <w:szCs w:val="14"/>
                <w:color w:val="auto"/>
              </w:rPr>
              <w:t>26,706</w:t>
            </w:r>
          </w:p>
        </w:tc>
      </w:tr>
      <w:tr>
        <w:trPr>
          <w:trHeight w:val="214"/>
        </w:trPr>
        <w:tc>
          <w:tcPr>
            <w:tcW w:w="3780" w:type="dxa"/>
            <w:vAlign w:val="bottom"/>
            <w:shd w:val="clear" w:color="auto" w:fill="F1F2F2"/>
          </w:tcPr>
          <w:p>
            <w:pPr>
              <w:ind w:left="100"/>
              <w:spacing w:after="0"/>
              <w:rPr>
                <w:sz w:val="20"/>
                <w:szCs w:val="20"/>
                <w:color w:val="auto"/>
              </w:rPr>
            </w:pPr>
            <w:r>
              <w:rPr>
                <w:rFonts w:ascii="Arial" w:cs="Arial" w:eastAsia="Arial" w:hAnsi="Arial"/>
                <w:sz w:val="14"/>
                <w:szCs w:val="14"/>
                <w:b w:val="1"/>
                <w:bCs w:val="1"/>
                <w:color w:val="auto"/>
              </w:rPr>
              <w:t>Chankyu Park</w:t>
            </w:r>
          </w:p>
        </w:tc>
        <w:tc>
          <w:tcPr>
            <w:tcW w:w="1580" w:type="dxa"/>
            <w:vAlign w:val="bottom"/>
            <w:shd w:val="clear" w:color="auto" w:fill="F1F2F2"/>
          </w:tcPr>
          <w:p>
            <w:pPr>
              <w:spacing w:after="0"/>
              <w:rPr>
                <w:sz w:val="18"/>
                <w:szCs w:val="18"/>
                <w:color w:val="auto"/>
              </w:rPr>
            </w:pPr>
          </w:p>
        </w:tc>
        <w:tc>
          <w:tcPr>
            <w:tcW w:w="2120" w:type="dxa"/>
            <w:vAlign w:val="bottom"/>
            <w:shd w:val="clear" w:color="auto" w:fill="F1F2F2"/>
          </w:tcPr>
          <w:p>
            <w:pPr>
              <w:spacing w:after="0"/>
              <w:rPr>
                <w:sz w:val="18"/>
                <w:szCs w:val="18"/>
                <w:color w:val="auto"/>
              </w:rPr>
            </w:pPr>
          </w:p>
        </w:tc>
        <w:tc>
          <w:tcPr>
            <w:tcW w:w="1340" w:type="dxa"/>
            <w:vAlign w:val="bottom"/>
            <w:shd w:val="clear" w:color="auto" w:fill="F1F2F2"/>
          </w:tcPr>
          <w:p>
            <w:pPr>
              <w:spacing w:after="0"/>
              <w:rPr>
                <w:sz w:val="18"/>
                <w:szCs w:val="18"/>
                <w:color w:val="auto"/>
              </w:rPr>
            </w:pPr>
          </w:p>
        </w:tc>
        <w:tc>
          <w:tcPr>
            <w:tcW w:w="2420" w:type="dxa"/>
            <w:vAlign w:val="bottom"/>
            <w:shd w:val="clear" w:color="auto" w:fill="F1F2F2"/>
          </w:tcPr>
          <w:p>
            <w:pPr>
              <w:spacing w:after="0"/>
              <w:rPr>
                <w:sz w:val="18"/>
                <w:szCs w:val="18"/>
                <w:color w:val="auto"/>
              </w:rPr>
            </w:pPr>
          </w:p>
        </w:tc>
      </w:tr>
      <w:tr>
        <w:trPr>
          <w:trHeight w:val="245"/>
        </w:trPr>
        <w:tc>
          <w:tcPr>
            <w:tcW w:w="3780" w:type="dxa"/>
            <w:vAlign w:val="bottom"/>
            <w:shd w:val="clear" w:color="auto" w:fill="F1F2F2"/>
          </w:tcPr>
          <w:p>
            <w:pPr>
              <w:ind w:left="100"/>
              <w:spacing w:after="0"/>
              <w:rPr>
                <w:sz w:val="20"/>
                <w:szCs w:val="20"/>
                <w:color w:val="auto"/>
              </w:rPr>
            </w:pPr>
            <w:r>
              <w:rPr>
                <w:rFonts w:ascii="Arial" w:cs="Arial" w:eastAsia="Arial" w:hAnsi="Arial"/>
                <w:sz w:val="14"/>
                <w:szCs w:val="14"/>
                <w:color w:val="auto"/>
              </w:rPr>
              <w:t>Cash Severance Payments</w:t>
            </w:r>
            <w:r>
              <w:rPr>
                <w:rFonts w:ascii="Arial" w:cs="Arial" w:eastAsia="Arial" w:hAnsi="Arial"/>
                <w:sz w:val="18"/>
                <w:szCs w:val="18"/>
                <w:color w:val="auto"/>
                <w:vertAlign w:val="superscript"/>
              </w:rPr>
              <w:t>(2)</w:t>
            </w:r>
          </w:p>
        </w:tc>
        <w:tc>
          <w:tcPr>
            <w:tcW w:w="1580" w:type="dxa"/>
            <w:vAlign w:val="bottom"/>
            <w:shd w:val="clear" w:color="auto" w:fill="F1F2F2"/>
          </w:tcPr>
          <w:p>
            <w:pPr>
              <w:jc w:val="right"/>
              <w:ind w:right="8"/>
              <w:spacing w:after="0"/>
              <w:rPr>
                <w:sz w:val="20"/>
                <w:szCs w:val="20"/>
                <w:color w:val="auto"/>
              </w:rPr>
            </w:pPr>
            <w:r>
              <w:rPr>
                <w:rFonts w:ascii="Arial" w:cs="Arial" w:eastAsia="Arial" w:hAnsi="Arial"/>
                <w:sz w:val="14"/>
                <w:szCs w:val="14"/>
                <w:color w:val="auto"/>
              </w:rPr>
              <w:t>270,230</w:t>
            </w:r>
          </w:p>
        </w:tc>
        <w:tc>
          <w:tcPr>
            <w:tcW w:w="2120" w:type="dxa"/>
            <w:vAlign w:val="bottom"/>
            <w:shd w:val="clear" w:color="auto" w:fill="F1F2F2"/>
          </w:tcPr>
          <w:p>
            <w:pPr>
              <w:jc w:val="right"/>
              <w:ind w:right="8"/>
              <w:spacing w:after="0"/>
              <w:rPr>
                <w:sz w:val="20"/>
                <w:szCs w:val="20"/>
                <w:color w:val="auto"/>
              </w:rPr>
            </w:pPr>
            <w:r>
              <w:rPr>
                <w:rFonts w:ascii="Arial" w:cs="Arial" w:eastAsia="Arial" w:hAnsi="Arial"/>
                <w:sz w:val="14"/>
                <w:szCs w:val="14"/>
                <w:color w:val="auto"/>
              </w:rPr>
              <w:t>270,230</w:t>
            </w:r>
          </w:p>
        </w:tc>
        <w:tc>
          <w:tcPr>
            <w:tcW w:w="1340" w:type="dxa"/>
            <w:vAlign w:val="bottom"/>
            <w:shd w:val="clear" w:color="auto" w:fill="F1F2F2"/>
          </w:tcPr>
          <w:p>
            <w:pPr>
              <w:ind w:left="1120"/>
              <w:spacing w:after="0"/>
              <w:rPr>
                <w:sz w:val="20"/>
                <w:szCs w:val="20"/>
                <w:color w:val="auto"/>
              </w:rPr>
            </w:pPr>
            <w:r>
              <w:rPr>
                <w:rFonts w:ascii="Arial" w:cs="Arial" w:eastAsia="Arial" w:hAnsi="Arial"/>
                <w:sz w:val="14"/>
                <w:szCs w:val="14"/>
                <w:color w:val="auto"/>
              </w:rPr>
              <w:t>—</w:t>
            </w:r>
          </w:p>
        </w:tc>
        <w:tc>
          <w:tcPr>
            <w:tcW w:w="2420" w:type="dxa"/>
            <w:vAlign w:val="bottom"/>
            <w:shd w:val="clear" w:color="auto" w:fill="F1F2F2"/>
          </w:tcPr>
          <w:p>
            <w:pPr>
              <w:jc w:val="right"/>
              <w:ind w:right="148"/>
              <w:spacing w:after="0"/>
              <w:rPr>
                <w:sz w:val="20"/>
                <w:szCs w:val="20"/>
                <w:color w:val="auto"/>
              </w:rPr>
            </w:pPr>
            <w:r>
              <w:rPr>
                <w:rFonts w:ascii="Arial" w:cs="Arial" w:eastAsia="Arial" w:hAnsi="Arial"/>
                <w:sz w:val="14"/>
                <w:szCs w:val="14"/>
                <w:color w:val="auto"/>
              </w:rPr>
              <w:t>257,909</w:t>
            </w:r>
          </w:p>
        </w:tc>
      </w:tr>
      <w:tr>
        <w:trPr>
          <w:trHeight w:val="208"/>
        </w:trPr>
        <w:tc>
          <w:tcPr>
            <w:tcW w:w="3780" w:type="dxa"/>
            <w:vAlign w:val="bottom"/>
            <w:shd w:val="clear" w:color="auto" w:fill="F1F2F2"/>
          </w:tcPr>
          <w:p>
            <w:pPr>
              <w:ind w:left="100"/>
              <w:spacing w:after="0"/>
              <w:rPr>
                <w:sz w:val="20"/>
                <w:szCs w:val="20"/>
                <w:color w:val="auto"/>
              </w:rPr>
            </w:pPr>
            <w:r>
              <w:rPr>
                <w:rFonts w:ascii="Arial" w:cs="Arial" w:eastAsia="Arial" w:hAnsi="Arial"/>
                <w:sz w:val="14"/>
                <w:szCs w:val="14"/>
                <w:color w:val="auto"/>
              </w:rPr>
              <w:t>Accelerated Vesting of Equity Awards</w:t>
            </w:r>
          </w:p>
        </w:tc>
        <w:tc>
          <w:tcPr>
            <w:tcW w:w="1580" w:type="dxa"/>
            <w:vAlign w:val="bottom"/>
            <w:shd w:val="clear" w:color="auto" w:fill="F1F2F2"/>
          </w:tcPr>
          <w:p>
            <w:pPr>
              <w:jc w:val="right"/>
              <w:ind w:right="8"/>
              <w:spacing w:after="0"/>
              <w:rPr>
                <w:sz w:val="20"/>
                <w:szCs w:val="20"/>
                <w:color w:val="auto"/>
              </w:rPr>
            </w:pPr>
            <w:r>
              <w:rPr>
                <w:rFonts w:ascii="Arial" w:cs="Arial" w:eastAsia="Arial" w:hAnsi="Arial"/>
                <w:sz w:val="14"/>
                <w:szCs w:val="14"/>
                <w:color w:val="auto"/>
              </w:rPr>
              <w:t>—</w:t>
            </w:r>
          </w:p>
        </w:tc>
        <w:tc>
          <w:tcPr>
            <w:tcW w:w="2120" w:type="dxa"/>
            <w:vAlign w:val="bottom"/>
            <w:shd w:val="clear" w:color="auto" w:fill="F1F2F2"/>
          </w:tcPr>
          <w:p>
            <w:pPr>
              <w:jc w:val="right"/>
              <w:ind w:right="8"/>
              <w:spacing w:after="0"/>
              <w:rPr>
                <w:sz w:val="20"/>
                <w:szCs w:val="20"/>
                <w:color w:val="auto"/>
              </w:rPr>
            </w:pPr>
            <w:r>
              <w:rPr>
                <w:rFonts w:ascii="Arial" w:cs="Arial" w:eastAsia="Arial" w:hAnsi="Arial"/>
                <w:sz w:val="14"/>
                <w:szCs w:val="14"/>
                <w:color w:val="auto"/>
              </w:rPr>
              <w:t>—</w:t>
            </w:r>
          </w:p>
        </w:tc>
        <w:tc>
          <w:tcPr>
            <w:tcW w:w="1340" w:type="dxa"/>
            <w:vAlign w:val="bottom"/>
            <w:shd w:val="clear" w:color="auto" w:fill="F1F2F2"/>
          </w:tcPr>
          <w:p>
            <w:pPr>
              <w:ind w:left="1120"/>
              <w:spacing w:after="0"/>
              <w:rPr>
                <w:sz w:val="20"/>
                <w:szCs w:val="20"/>
                <w:color w:val="auto"/>
              </w:rPr>
            </w:pPr>
            <w:r>
              <w:rPr>
                <w:rFonts w:ascii="Arial" w:cs="Arial" w:eastAsia="Arial" w:hAnsi="Arial"/>
                <w:sz w:val="14"/>
                <w:szCs w:val="14"/>
                <w:color w:val="auto"/>
              </w:rPr>
              <w:t>—</w:t>
            </w:r>
          </w:p>
        </w:tc>
        <w:tc>
          <w:tcPr>
            <w:tcW w:w="2420" w:type="dxa"/>
            <w:vAlign w:val="bottom"/>
            <w:shd w:val="clear" w:color="auto" w:fill="F1F2F2"/>
          </w:tcPr>
          <w:p>
            <w:pPr>
              <w:jc w:val="right"/>
              <w:ind w:right="148"/>
              <w:spacing w:after="0"/>
              <w:rPr>
                <w:sz w:val="20"/>
                <w:szCs w:val="20"/>
                <w:color w:val="auto"/>
              </w:rPr>
            </w:pPr>
            <w:r>
              <w:rPr>
                <w:rFonts w:ascii="Arial" w:cs="Arial" w:eastAsia="Arial" w:hAnsi="Arial"/>
                <w:sz w:val="14"/>
                <w:szCs w:val="14"/>
                <w:color w:val="auto"/>
              </w:rPr>
              <w:t>—</w:t>
            </w:r>
          </w:p>
        </w:tc>
      </w:tr>
      <w:tr>
        <w:trPr>
          <w:trHeight w:val="251"/>
        </w:trPr>
        <w:tc>
          <w:tcPr>
            <w:tcW w:w="3780" w:type="dxa"/>
            <w:vAlign w:val="bottom"/>
            <w:shd w:val="clear" w:color="auto" w:fill="F1F2F2"/>
          </w:tcPr>
          <w:p>
            <w:pPr>
              <w:ind w:left="100"/>
              <w:spacing w:after="0"/>
              <w:rPr>
                <w:sz w:val="20"/>
                <w:szCs w:val="20"/>
                <w:color w:val="auto"/>
              </w:rPr>
            </w:pPr>
            <w:r>
              <w:rPr>
                <w:rFonts w:ascii="Arial" w:cs="Arial" w:eastAsia="Arial" w:hAnsi="Arial"/>
                <w:sz w:val="14"/>
                <w:szCs w:val="14"/>
                <w:color w:val="auto"/>
              </w:rPr>
              <w:t>COBRA Payments</w:t>
            </w:r>
            <w:r>
              <w:rPr>
                <w:rFonts w:ascii="Arial" w:cs="Arial" w:eastAsia="Arial" w:hAnsi="Arial"/>
                <w:sz w:val="18"/>
                <w:szCs w:val="18"/>
                <w:color w:val="auto"/>
                <w:vertAlign w:val="superscript"/>
              </w:rPr>
              <w:t>(3)</w:t>
            </w:r>
          </w:p>
        </w:tc>
        <w:tc>
          <w:tcPr>
            <w:tcW w:w="1580" w:type="dxa"/>
            <w:vAlign w:val="bottom"/>
            <w:shd w:val="clear" w:color="auto" w:fill="F1F2F2"/>
          </w:tcPr>
          <w:p>
            <w:pPr>
              <w:jc w:val="right"/>
              <w:ind w:right="8"/>
              <w:spacing w:after="0"/>
              <w:rPr>
                <w:sz w:val="20"/>
                <w:szCs w:val="20"/>
                <w:color w:val="auto"/>
              </w:rPr>
            </w:pPr>
            <w:r>
              <w:rPr>
                <w:rFonts w:ascii="Arial" w:cs="Arial" w:eastAsia="Arial" w:hAnsi="Arial"/>
                <w:sz w:val="14"/>
                <w:szCs w:val="14"/>
                <w:color w:val="auto"/>
              </w:rPr>
              <w:t>—</w:t>
            </w:r>
          </w:p>
        </w:tc>
        <w:tc>
          <w:tcPr>
            <w:tcW w:w="2120" w:type="dxa"/>
            <w:vAlign w:val="bottom"/>
            <w:shd w:val="clear" w:color="auto" w:fill="F1F2F2"/>
          </w:tcPr>
          <w:p>
            <w:pPr>
              <w:jc w:val="right"/>
              <w:ind w:right="8"/>
              <w:spacing w:after="0"/>
              <w:rPr>
                <w:sz w:val="20"/>
                <w:szCs w:val="20"/>
                <w:color w:val="auto"/>
              </w:rPr>
            </w:pPr>
            <w:r>
              <w:rPr>
                <w:rFonts w:ascii="Arial" w:cs="Arial" w:eastAsia="Arial" w:hAnsi="Arial"/>
                <w:sz w:val="14"/>
                <w:szCs w:val="14"/>
                <w:color w:val="auto"/>
              </w:rPr>
              <w:t>—</w:t>
            </w:r>
          </w:p>
        </w:tc>
        <w:tc>
          <w:tcPr>
            <w:tcW w:w="1340" w:type="dxa"/>
            <w:vAlign w:val="bottom"/>
            <w:shd w:val="clear" w:color="auto" w:fill="F1F2F2"/>
          </w:tcPr>
          <w:p>
            <w:pPr>
              <w:ind w:left="1120"/>
              <w:spacing w:after="0"/>
              <w:rPr>
                <w:sz w:val="20"/>
                <w:szCs w:val="20"/>
                <w:color w:val="auto"/>
              </w:rPr>
            </w:pPr>
            <w:r>
              <w:rPr>
                <w:rFonts w:ascii="Arial" w:cs="Arial" w:eastAsia="Arial" w:hAnsi="Arial"/>
                <w:sz w:val="14"/>
                <w:szCs w:val="14"/>
                <w:color w:val="auto"/>
              </w:rPr>
              <w:t>—</w:t>
            </w:r>
          </w:p>
        </w:tc>
        <w:tc>
          <w:tcPr>
            <w:tcW w:w="2420" w:type="dxa"/>
            <w:vAlign w:val="bottom"/>
            <w:shd w:val="clear" w:color="auto" w:fill="F1F2F2"/>
          </w:tcPr>
          <w:p>
            <w:pPr>
              <w:jc w:val="right"/>
              <w:ind w:right="148"/>
              <w:spacing w:after="0"/>
              <w:rPr>
                <w:sz w:val="20"/>
                <w:szCs w:val="20"/>
                <w:color w:val="auto"/>
              </w:rPr>
            </w:pPr>
            <w:r>
              <w:rPr>
                <w:rFonts w:ascii="Arial" w:cs="Arial" w:eastAsia="Arial" w:hAnsi="Arial"/>
                <w:sz w:val="14"/>
                <w:szCs w:val="14"/>
                <w:color w:val="auto"/>
              </w:rPr>
              <w:t>—</w:t>
            </w:r>
          </w:p>
        </w:tc>
      </w:tr>
      <w:tr>
        <w:trPr>
          <w:trHeight w:val="214"/>
        </w:trPr>
        <w:tc>
          <w:tcPr>
            <w:tcW w:w="3780" w:type="dxa"/>
            <w:vAlign w:val="bottom"/>
          </w:tcPr>
          <w:p>
            <w:pPr>
              <w:ind w:left="100"/>
              <w:spacing w:after="0"/>
              <w:rPr>
                <w:sz w:val="20"/>
                <w:szCs w:val="20"/>
                <w:color w:val="auto"/>
              </w:rPr>
            </w:pPr>
            <w:r>
              <w:rPr>
                <w:rFonts w:ascii="Arial" w:cs="Arial" w:eastAsia="Arial" w:hAnsi="Arial"/>
                <w:sz w:val="14"/>
                <w:szCs w:val="14"/>
                <w:b w:val="1"/>
                <w:bCs w:val="1"/>
                <w:color w:val="auto"/>
              </w:rPr>
              <w:t>Yongsoo Kim</w:t>
            </w:r>
          </w:p>
        </w:tc>
        <w:tc>
          <w:tcPr>
            <w:tcW w:w="15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263"/>
        </w:trPr>
        <w:tc>
          <w:tcPr>
            <w:tcW w:w="3780" w:type="dxa"/>
            <w:vAlign w:val="bottom"/>
          </w:tcPr>
          <w:p>
            <w:pPr>
              <w:ind w:left="100"/>
              <w:spacing w:after="0"/>
              <w:rPr>
                <w:sz w:val="20"/>
                <w:szCs w:val="20"/>
                <w:color w:val="auto"/>
              </w:rPr>
            </w:pPr>
            <w:r>
              <w:rPr>
                <w:rFonts w:ascii="Arial" w:cs="Arial" w:eastAsia="Arial" w:hAnsi="Arial"/>
                <w:sz w:val="14"/>
                <w:szCs w:val="14"/>
                <w:color w:val="auto"/>
              </w:rPr>
              <w:t>Cash Severance Payments</w:t>
            </w:r>
            <w:r>
              <w:rPr>
                <w:rFonts w:ascii="Arial" w:cs="Arial" w:eastAsia="Arial" w:hAnsi="Arial"/>
                <w:sz w:val="18"/>
                <w:szCs w:val="18"/>
                <w:color w:val="auto"/>
                <w:vertAlign w:val="superscript"/>
              </w:rPr>
              <w:t>(2)</w:t>
            </w:r>
          </w:p>
        </w:tc>
        <w:tc>
          <w:tcPr>
            <w:tcW w:w="1580" w:type="dxa"/>
            <w:vAlign w:val="bottom"/>
          </w:tcPr>
          <w:p>
            <w:pPr>
              <w:jc w:val="right"/>
              <w:ind w:right="8"/>
              <w:spacing w:after="0"/>
              <w:rPr>
                <w:sz w:val="20"/>
                <w:szCs w:val="20"/>
                <w:color w:val="auto"/>
              </w:rPr>
            </w:pPr>
            <w:r>
              <w:rPr>
                <w:rFonts w:ascii="Arial" w:cs="Arial" w:eastAsia="Arial" w:hAnsi="Arial"/>
                <w:sz w:val="14"/>
                <w:szCs w:val="14"/>
                <w:color w:val="auto"/>
              </w:rPr>
              <w:t>111,409</w:t>
            </w:r>
          </w:p>
        </w:tc>
        <w:tc>
          <w:tcPr>
            <w:tcW w:w="2120" w:type="dxa"/>
            <w:vAlign w:val="bottom"/>
          </w:tcPr>
          <w:p>
            <w:pPr>
              <w:jc w:val="right"/>
              <w:ind w:right="8"/>
              <w:spacing w:after="0"/>
              <w:rPr>
                <w:sz w:val="20"/>
                <w:szCs w:val="20"/>
                <w:color w:val="auto"/>
              </w:rPr>
            </w:pPr>
            <w:r>
              <w:rPr>
                <w:rFonts w:ascii="Arial" w:cs="Arial" w:eastAsia="Arial" w:hAnsi="Arial"/>
                <w:sz w:val="14"/>
                <w:szCs w:val="14"/>
                <w:color w:val="auto"/>
              </w:rPr>
              <w:t>111,409</w:t>
            </w:r>
          </w:p>
        </w:tc>
        <w:tc>
          <w:tcPr>
            <w:tcW w:w="1340" w:type="dxa"/>
            <w:vAlign w:val="bottom"/>
          </w:tcPr>
          <w:p>
            <w:pPr>
              <w:ind w:left="1120"/>
              <w:spacing w:after="0"/>
              <w:rPr>
                <w:sz w:val="20"/>
                <w:szCs w:val="20"/>
                <w:color w:val="auto"/>
              </w:rPr>
            </w:pPr>
            <w:r>
              <w:rPr>
                <w:rFonts w:ascii="Arial" w:cs="Arial" w:eastAsia="Arial" w:hAnsi="Arial"/>
                <w:sz w:val="14"/>
                <w:szCs w:val="14"/>
                <w:color w:val="auto"/>
              </w:rPr>
              <w:t>—</w:t>
            </w:r>
          </w:p>
        </w:tc>
        <w:tc>
          <w:tcPr>
            <w:tcW w:w="2420" w:type="dxa"/>
            <w:vAlign w:val="bottom"/>
          </w:tcPr>
          <w:p>
            <w:pPr>
              <w:jc w:val="right"/>
              <w:ind w:right="148"/>
              <w:spacing w:after="0"/>
              <w:rPr>
                <w:sz w:val="20"/>
                <w:szCs w:val="20"/>
                <w:color w:val="auto"/>
              </w:rPr>
            </w:pPr>
            <w:r>
              <w:rPr>
                <w:rFonts w:ascii="Arial" w:cs="Arial" w:eastAsia="Arial" w:hAnsi="Arial"/>
                <w:sz w:val="14"/>
                <w:szCs w:val="14"/>
                <w:color w:val="auto"/>
              </w:rPr>
              <w:t>111,409</w:t>
            </w:r>
          </w:p>
        </w:tc>
      </w:tr>
      <w:tr>
        <w:trPr>
          <w:trHeight w:val="190"/>
        </w:trPr>
        <w:tc>
          <w:tcPr>
            <w:tcW w:w="3780" w:type="dxa"/>
            <w:vAlign w:val="bottom"/>
          </w:tcPr>
          <w:p>
            <w:pPr>
              <w:ind w:left="100"/>
              <w:spacing w:after="0"/>
              <w:rPr>
                <w:sz w:val="20"/>
                <w:szCs w:val="20"/>
                <w:color w:val="auto"/>
              </w:rPr>
            </w:pPr>
            <w:r>
              <w:rPr>
                <w:rFonts w:ascii="Arial" w:cs="Arial" w:eastAsia="Arial" w:hAnsi="Arial"/>
                <w:sz w:val="14"/>
                <w:szCs w:val="14"/>
                <w:color w:val="auto"/>
              </w:rPr>
              <w:t>Accelerated Vesting of Equity Awards</w:t>
            </w:r>
          </w:p>
        </w:tc>
        <w:tc>
          <w:tcPr>
            <w:tcW w:w="15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1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40" w:type="dxa"/>
            <w:vAlign w:val="bottom"/>
          </w:tcPr>
          <w:p>
            <w:pPr>
              <w:ind w:left="1120"/>
              <w:spacing w:after="0"/>
              <w:rPr>
                <w:sz w:val="20"/>
                <w:szCs w:val="20"/>
                <w:color w:val="auto"/>
              </w:rPr>
            </w:pPr>
            <w:r>
              <w:rPr>
                <w:rFonts w:ascii="Arial" w:cs="Arial" w:eastAsia="Arial" w:hAnsi="Arial"/>
                <w:sz w:val="14"/>
                <w:szCs w:val="14"/>
                <w:color w:val="auto"/>
              </w:rPr>
              <w:t>—</w:t>
            </w:r>
          </w:p>
        </w:tc>
        <w:tc>
          <w:tcPr>
            <w:tcW w:w="2420" w:type="dxa"/>
            <w:vAlign w:val="bottom"/>
          </w:tcPr>
          <w:p>
            <w:pPr>
              <w:jc w:val="right"/>
              <w:ind w:right="148"/>
              <w:spacing w:after="0"/>
              <w:rPr>
                <w:sz w:val="20"/>
                <w:szCs w:val="20"/>
                <w:color w:val="auto"/>
              </w:rPr>
            </w:pPr>
            <w:r>
              <w:rPr>
                <w:rFonts w:ascii="Arial" w:cs="Arial" w:eastAsia="Arial" w:hAnsi="Arial"/>
                <w:sz w:val="14"/>
                <w:szCs w:val="14"/>
                <w:color w:val="auto"/>
              </w:rPr>
              <w:t>—</w:t>
            </w:r>
          </w:p>
        </w:tc>
      </w:tr>
      <w:tr>
        <w:trPr>
          <w:trHeight w:val="251"/>
        </w:trPr>
        <w:tc>
          <w:tcPr>
            <w:tcW w:w="3780" w:type="dxa"/>
            <w:vAlign w:val="bottom"/>
          </w:tcPr>
          <w:p>
            <w:pPr>
              <w:ind w:left="100"/>
              <w:spacing w:after="0"/>
              <w:rPr>
                <w:sz w:val="20"/>
                <w:szCs w:val="20"/>
                <w:color w:val="auto"/>
              </w:rPr>
            </w:pPr>
            <w:r>
              <w:rPr>
                <w:rFonts w:ascii="Arial" w:cs="Arial" w:eastAsia="Arial" w:hAnsi="Arial"/>
                <w:sz w:val="14"/>
                <w:szCs w:val="14"/>
                <w:color w:val="auto"/>
              </w:rPr>
              <w:t>COBRA Payments</w:t>
            </w:r>
            <w:r>
              <w:rPr>
                <w:rFonts w:ascii="Arial" w:cs="Arial" w:eastAsia="Arial" w:hAnsi="Arial"/>
                <w:sz w:val="18"/>
                <w:szCs w:val="18"/>
                <w:color w:val="auto"/>
                <w:vertAlign w:val="superscript"/>
              </w:rPr>
              <w:t>(3)</w:t>
            </w:r>
          </w:p>
        </w:tc>
        <w:tc>
          <w:tcPr>
            <w:tcW w:w="15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1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40" w:type="dxa"/>
            <w:vAlign w:val="bottom"/>
          </w:tcPr>
          <w:p>
            <w:pPr>
              <w:ind w:left="1120"/>
              <w:spacing w:after="0"/>
              <w:rPr>
                <w:sz w:val="20"/>
                <w:szCs w:val="20"/>
                <w:color w:val="auto"/>
              </w:rPr>
            </w:pPr>
            <w:r>
              <w:rPr>
                <w:rFonts w:ascii="Arial" w:cs="Arial" w:eastAsia="Arial" w:hAnsi="Arial"/>
                <w:sz w:val="14"/>
                <w:szCs w:val="14"/>
                <w:color w:val="auto"/>
              </w:rPr>
              <w:t>—</w:t>
            </w:r>
          </w:p>
        </w:tc>
        <w:tc>
          <w:tcPr>
            <w:tcW w:w="2420" w:type="dxa"/>
            <w:vAlign w:val="bottom"/>
          </w:tcPr>
          <w:p>
            <w:pPr>
              <w:jc w:val="right"/>
              <w:ind w:right="148"/>
              <w:spacing w:after="0"/>
              <w:rPr>
                <w:sz w:val="20"/>
                <w:szCs w:val="20"/>
                <w:color w:val="auto"/>
              </w:rPr>
            </w:pPr>
            <w:r>
              <w:rPr>
                <w:rFonts w:ascii="Arial" w:cs="Arial" w:eastAsia="Arial" w:hAnsi="Arial"/>
                <w:sz w:val="14"/>
                <w:szCs w:val="14"/>
                <w:color w:val="auto"/>
              </w:rPr>
              <w:t>—</w:t>
            </w:r>
          </w:p>
        </w:tc>
      </w:tr>
      <w:tr>
        <w:trPr>
          <w:trHeight w:val="214"/>
        </w:trPr>
        <w:tc>
          <w:tcPr>
            <w:tcW w:w="3780" w:type="dxa"/>
            <w:vAlign w:val="bottom"/>
            <w:shd w:val="clear" w:color="auto" w:fill="F1F2F2"/>
          </w:tcPr>
          <w:p>
            <w:pPr>
              <w:ind w:left="100"/>
              <w:spacing w:after="0"/>
              <w:rPr>
                <w:sz w:val="20"/>
                <w:szCs w:val="20"/>
                <w:color w:val="auto"/>
              </w:rPr>
            </w:pPr>
            <w:r>
              <w:rPr>
                <w:rFonts w:ascii="Arial" w:cs="Arial" w:eastAsia="Arial" w:hAnsi="Arial"/>
                <w:sz w:val="14"/>
                <w:szCs w:val="14"/>
                <w:b w:val="1"/>
                <w:bCs w:val="1"/>
                <w:color w:val="auto"/>
              </w:rPr>
              <w:t>Hyeeun Son</w:t>
            </w:r>
          </w:p>
        </w:tc>
        <w:tc>
          <w:tcPr>
            <w:tcW w:w="1580" w:type="dxa"/>
            <w:vAlign w:val="bottom"/>
            <w:shd w:val="clear" w:color="auto" w:fill="F1F2F2"/>
          </w:tcPr>
          <w:p>
            <w:pPr>
              <w:spacing w:after="0"/>
              <w:rPr>
                <w:sz w:val="18"/>
                <w:szCs w:val="18"/>
                <w:color w:val="auto"/>
              </w:rPr>
            </w:pPr>
          </w:p>
        </w:tc>
        <w:tc>
          <w:tcPr>
            <w:tcW w:w="2120" w:type="dxa"/>
            <w:vAlign w:val="bottom"/>
            <w:shd w:val="clear" w:color="auto" w:fill="F1F2F2"/>
          </w:tcPr>
          <w:p>
            <w:pPr>
              <w:spacing w:after="0"/>
              <w:rPr>
                <w:sz w:val="18"/>
                <w:szCs w:val="18"/>
                <w:color w:val="auto"/>
              </w:rPr>
            </w:pPr>
          </w:p>
        </w:tc>
        <w:tc>
          <w:tcPr>
            <w:tcW w:w="1340" w:type="dxa"/>
            <w:vAlign w:val="bottom"/>
            <w:shd w:val="clear" w:color="auto" w:fill="F1F2F2"/>
          </w:tcPr>
          <w:p>
            <w:pPr>
              <w:spacing w:after="0"/>
              <w:rPr>
                <w:sz w:val="18"/>
                <w:szCs w:val="18"/>
                <w:color w:val="auto"/>
              </w:rPr>
            </w:pPr>
          </w:p>
        </w:tc>
        <w:tc>
          <w:tcPr>
            <w:tcW w:w="2420" w:type="dxa"/>
            <w:vAlign w:val="bottom"/>
            <w:shd w:val="clear" w:color="auto" w:fill="F1F2F2"/>
          </w:tcPr>
          <w:p>
            <w:pPr>
              <w:spacing w:after="0"/>
              <w:rPr>
                <w:sz w:val="18"/>
                <w:szCs w:val="18"/>
                <w:color w:val="auto"/>
              </w:rPr>
            </w:pPr>
          </w:p>
        </w:tc>
      </w:tr>
      <w:tr>
        <w:trPr>
          <w:trHeight w:val="245"/>
        </w:trPr>
        <w:tc>
          <w:tcPr>
            <w:tcW w:w="3780" w:type="dxa"/>
            <w:vAlign w:val="bottom"/>
            <w:shd w:val="clear" w:color="auto" w:fill="F1F2F2"/>
          </w:tcPr>
          <w:p>
            <w:pPr>
              <w:ind w:left="100"/>
              <w:spacing w:after="0"/>
              <w:rPr>
                <w:sz w:val="20"/>
                <w:szCs w:val="20"/>
                <w:color w:val="auto"/>
              </w:rPr>
            </w:pPr>
            <w:r>
              <w:rPr>
                <w:rFonts w:ascii="Arial" w:cs="Arial" w:eastAsia="Arial" w:hAnsi="Arial"/>
                <w:sz w:val="14"/>
                <w:szCs w:val="14"/>
                <w:color w:val="auto"/>
              </w:rPr>
              <w:t>Cash Severance Payments</w:t>
            </w:r>
            <w:r>
              <w:rPr>
                <w:rFonts w:ascii="Arial" w:cs="Arial" w:eastAsia="Arial" w:hAnsi="Arial"/>
                <w:sz w:val="18"/>
                <w:szCs w:val="18"/>
                <w:color w:val="auto"/>
                <w:vertAlign w:val="superscript"/>
              </w:rPr>
              <w:t>(2)</w:t>
            </w:r>
          </w:p>
        </w:tc>
        <w:tc>
          <w:tcPr>
            <w:tcW w:w="1580" w:type="dxa"/>
            <w:vAlign w:val="bottom"/>
            <w:shd w:val="clear" w:color="auto" w:fill="F1F2F2"/>
          </w:tcPr>
          <w:p>
            <w:pPr>
              <w:jc w:val="right"/>
              <w:ind w:right="8"/>
              <w:spacing w:after="0"/>
              <w:rPr>
                <w:sz w:val="20"/>
                <w:szCs w:val="20"/>
                <w:color w:val="auto"/>
              </w:rPr>
            </w:pPr>
            <w:r>
              <w:rPr>
                <w:rFonts w:ascii="Arial" w:cs="Arial" w:eastAsia="Arial" w:hAnsi="Arial"/>
                <w:sz w:val="14"/>
                <w:szCs w:val="14"/>
                <w:color w:val="auto"/>
              </w:rPr>
              <w:t>174,331</w:t>
            </w:r>
          </w:p>
        </w:tc>
        <w:tc>
          <w:tcPr>
            <w:tcW w:w="2120" w:type="dxa"/>
            <w:vAlign w:val="bottom"/>
            <w:shd w:val="clear" w:color="auto" w:fill="F1F2F2"/>
          </w:tcPr>
          <w:p>
            <w:pPr>
              <w:jc w:val="right"/>
              <w:ind w:right="8"/>
              <w:spacing w:after="0"/>
              <w:rPr>
                <w:sz w:val="20"/>
                <w:szCs w:val="20"/>
                <w:color w:val="auto"/>
              </w:rPr>
            </w:pPr>
            <w:r>
              <w:rPr>
                <w:rFonts w:ascii="Arial" w:cs="Arial" w:eastAsia="Arial" w:hAnsi="Arial"/>
                <w:sz w:val="14"/>
                <w:szCs w:val="14"/>
                <w:color w:val="auto"/>
              </w:rPr>
              <w:t>174,331</w:t>
            </w:r>
          </w:p>
        </w:tc>
        <w:tc>
          <w:tcPr>
            <w:tcW w:w="1340" w:type="dxa"/>
            <w:vAlign w:val="bottom"/>
            <w:shd w:val="clear" w:color="auto" w:fill="F1F2F2"/>
          </w:tcPr>
          <w:p>
            <w:pPr>
              <w:ind w:left="1120"/>
              <w:spacing w:after="0"/>
              <w:rPr>
                <w:sz w:val="20"/>
                <w:szCs w:val="20"/>
                <w:color w:val="auto"/>
              </w:rPr>
            </w:pPr>
            <w:r>
              <w:rPr>
                <w:rFonts w:ascii="Arial" w:cs="Arial" w:eastAsia="Arial" w:hAnsi="Arial"/>
                <w:sz w:val="14"/>
                <w:szCs w:val="14"/>
                <w:color w:val="auto"/>
              </w:rPr>
              <w:t>—</w:t>
            </w:r>
          </w:p>
        </w:tc>
        <w:tc>
          <w:tcPr>
            <w:tcW w:w="2420" w:type="dxa"/>
            <w:vAlign w:val="bottom"/>
            <w:shd w:val="clear" w:color="auto" w:fill="F1F2F2"/>
          </w:tcPr>
          <w:p>
            <w:pPr>
              <w:jc w:val="right"/>
              <w:ind w:right="148"/>
              <w:spacing w:after="0"/>
              <w:rPr>
                <w:sz w:val="20"/>
                <w:szCs w:val="20"/>
                <w:color w:val="auto"/>
              </w:rPr>
            </w:pPr>
            <w:r>
              <w:rPr>
                <w:rFonts w:ascii="Arial" w:cs="Arial" w:eastAsia="Arial" w:hAnsi="Arial"/>
                <w:sz w:val="14"/>
                <w:szCs w:val="14"/>
                <w:color w:val="auto"/>
              </w:rPr>
              <w:t>174,331</w:t>
            </w:r>
          </w:p>
        </w:tc>
      </w:tr>
      <w:tr>
        <w:trPr>
          <w:trHeight w:val="208"/>
        </w:trPr>
        <w:tc>
          <w:tcPr>
            <w:tcW w:w="3780" w:type="dxa"/>
            <w:vAlign w:val="bottom"/>
            <w:shd w:val="clear" w:color="auto" w:fill="F1F2F2"/>
          </w:tcPr>
          <w:p>
            <w:pPr>
              <w:ind w:left="100"/>
              <w:spacing w:after="0"/>
              <w:rPr>
                <w:sz w:val="20"/>
                <w:szCs w:val="20"/>
                <w:color w:val="auto"/>
              </w:rPr>
            </w:pPr>
            <w:r>
              <w:rPr>
                <w:rFonts w:ascii="Arial" w:cs="Arial" w:eastAsia="Arial" w:hAnsi="Arial"/>
                <w:sz w:val="14"/>
                <w:szCs w:val="14"/>
                <w:color w:val="auto"/>
              </w:rPr>
              <w:t>Accelerated Vesting of Equity Awards</w:t>
            </w:r>
          </w:p>
        </w:tc>
        <w:tc>
          <w:tcPr>
            <w:tcW w:w="1580" w:type="dxa"/>
            <w:vAlign w:val="bottom"/>
            <w:shd w:val="clear" w:color="auto" w:fill="F1F2F2"/>
          </w:tcPr>
          <w:p>
            <w:pPr>
              <w:jc w:val="right"/>
              <w:ind w:right="8"/>
              <w:spacing w:after="0"/>
              <w:rPr>
                <w:sz w:val="20"/>
                <w:szCs w:val="20"/>
                <w:color w:val="auto"/>
              </w:rPr>
            </w:pPr>
            <w:r>
              <w:rPr>
                <w:rFonts w:ascii="Arial" w:cs="Arial" w:eastAsia="Arial" w:hAnsi="Arial"/>
                <w:sz w:val="14"/>
                <w:szCs w:val="14"/>
                <w:color w:val="auto"/>
              </w:rPr>
              <w:t>—</w:t>
            </w:r>
          </w:p>
        </w:tc>
        <w:tc>
          <w:tcPr>
            <w:tcW w:w="2120" w:type="dxa"/>
            <w:vAlign w:val="bottom"/>
            <w:shd w:val="clear" w:color="auto" w:fill="F1F2F2"/>
          </w:tcPr>
          <w:p>
            <w:pPr>
              <w:jc w:val="right"/>
              <w:ind w:right="8"/>
              <w:spacing w:after="0"/>
              <w:rPr>
                <w:sz w:val="20"/>
                <w:szCs w:val="20"/>
                <w:color w:val="auto"/>
              </w:rPr>
            </w:pPr>
            <w:r>
              <w:rPr>
                <w:rFonts w:ascii="Arial" w:cs="Arial" w:eastAsia="Arial" w:hAnsi="Arial"/>
                <w:sz w:val="14"/>
                <w:szCs w:val="14"/>
                <w:color w:val="auto"/>
              </w:rPr>
              <w:t>—</w:t>
            </w:r>
          </w:p>
        </w:tc>
        <w:tc>
          <w:tcPr>
            <w:tcW w:w="1340" w:type="dxa"/>
            <w:vAlign w:val="bottom"/>
            <w:shd w:val="clear" w:color="auto" w:fill="F1F2F2"/>
          </w:tcPr>
          <w:p>
            <w:pPr>
              <w:ind w:left="1120"/>
              <w:spacing w:after="0"/>
              <w:rPr>
                <w:sz w:val="20"/>
                <w:szCs w:val="20"/>
                <w:color w:val="auto"/>
              </w:rPr>
            </w:pPr>
            <w:r>
              <w:rPr>
                <w:rFonts w:ascii="Arial" w:cs="Arial" w:eastAsia="Arial" w:hAnsi="Arial"/>
                <w:sz w:val="14"/>
                <w:szCs w:val="14"/>
                <w:color w:val="auto"/>
              </w:rPr>
              <w:t>—</w:t>
            </w:r>
          </w:p>
        </w:tc>
        <w:tc>
          <w:tcPr>
            <w:tcW w:w="2420" w:type="dxa"/>
            <w:vAlign w:val="bottom"/>
            <w:shd w:val="clear" w:color="auto" w:fill="F1F2F2"/>
          </w:tcPr>
          <w:p>
            <w:pPr>
              <w:jc w:val="right"/>
              <w:ind w:right="148"/>
              <w:spacing w:after="0"/>
              <w:rPr>
                <w:sz w:val="20"/>
                <w:szCs w:val="20"/>
                <w:color w:val="auto"/>
              </w:rPr>
            </w:pPr>
            <w:r>
              <w:rPr>
                <w:rFonts w:ascii="Arial" w:cs="Arial" w:eastAsia="Arial" w:hAnsi="Arial"/>
                <w:sz w:val="14"/>
                <w:szCs w:val="14"/>
                <w:color w:val="auto"/>
              </w:rPr>
              <w:t>—</w:t>
            </w:r>
          </w:p>
        </w:tc>
      </w:tr>
      <w:tr>
        <w:trPr>
          <w:trHeight w:val="251"/>
        </w:trPr>
        <w:tc>
          <w:tcPr>
            <w:tcW w:w="3780" w:type="dxa"/>
            <w:vAlign w:val="bottom"/>
            <w:tcBorders>
              <w:bottom w:val="single" w:sz="8" w:color="auto"/>
            </w:tcBorders>
            <w:shd w:val="clear" w:color="auto" w:fill="F1F2F2"/>
          </w:tcPr>
          <w:p>
            <w:pPr>
              <w:ind w:left="100"/>
              <w:spacing w:after="0"/>
              <w:rPr>
                <w:sz w:val="20"/>
                <w:szCs w:val="20"/>
                <w:color w:val="auto"/>
              </w:rPr>
            </w:pPr>
            <w:r>
              <w:rPr>
                <w:rFonts w:ascii="Arial" w:cs="Arial" w:eastAsia="Arial" w:hAnsi="Arial"/>
                <w:sz w:val="14"/>
                <w:szCs w:val="14"/>
                <w:color w:val="auto"/>
              </w:rPr>
              <w:t>COBRA Payments</w:t>
            </w:r>
            <w:r>
              <w:rPr>
                <w:rFonts w:ascii="Arial" w:cs="Arial" w:eastAsia="Arial" w:hAnsi="Arial"/>
                <w:sz w:val="18"/>
                <w:szCs w:val="18"/>
                <w:color w:val="auto"/>
                <w:vertAlign w:val="superscript"/>
              </w:rPr>
              <w:t>(3)</w:t>
            </w:r>
          </w:p>
        </w:tc>
        <w:tc>
          <w:tcPr>
            <w:tcW w:w="1580" w:type="dxa"/>
            <w:vAlign w:val="bottom"/>
            <w:tcBorders>
              <w:bottom w:val="single" w:sz="8" w:color="auto"/>
            </w:tcBorders>
            <w:shd w:val="clear" w:color="auto" w:fill="F1F2F2"/>
          </w:tcPr>
          <w:p>
            <w:pPr>
              <w:jc w:val="right"/>
              <w:ind w:right="8"/>
              <w:spacing w:after="0"/>
              <w:rPr>
                <w:sz w:val="20"/>
                <w:szCs w:val="20"/>
                <w:color w:val="auto"/>
              </w:rPr>
            </w:pPr>
            <w:r>
              <w:rPr>
                <w:rFonts w:ascii="Arial" w:cs="Arial" w:eastAsia="Arial" w:hAnsi="Arial"/>
                <w:sz w:val="14"/>
                <w:szCs w:val="14"/>
                <w:color w:val="auto"/>
              </w:rPr>
              <w:t>—</w:t>
            </w:r>
          </w:p>
        </w:tc>
        <w:tc>
          <w:tcPr>
            <w:tcW w:w="2120" w:type="dxa"/>
            <w:vAlign w:val="bottom"/>
            <w:tcBorders>
              <w:bottom w:val="single" w:sz="8" w:color="auto"/>
            </w:tcBorders>
            <w:shd w:val="clear" w:color="auto" w:fill="F1F2F2"/>
          </w:tcPr>
          <w:p>
            <w:pPr>
              <w:jc w:val="right"/>
              <w:ind w:right="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shd w:val="clear" w:color="auto" w:fill="F1F2F2"/>
          </w:tcPr>
          <w:p>
            <w:pPr>
              <w:ind w:left="1120"/>
              <w:spacing w:after="0"/>
              <w:rPr>
                <w:sz w:val="20"/>
                <w:szCs w:val="20"/>
                <w:color w:val="auto"/>
              </w:rPr>
            </w:pPr>
            <w:r>
              <w:rPr>
                <w:rFonts w:ascii="Arial" w:cs="Arial" w:eastAsia="Arial" w:hAnsi="Arial"/>
                <w:sz w:val="14"/>
                <w:szCs w:val="14"/>
                <w:color w:val="auto"/>
              </w:rPr>
              <w:t>—</w:t>
            </w:r>
          </w:p>
        </w:tc>
        <w:tc>
          <w:tcPr>
            <w:tcW w:w="2420" w:type="dxa"/>
            <w:vAlign w:val="bottom"/>
            <w:tcBorders>
              <w:bottom w:val="single" w:sz="8" w:color="auto"/>
            </w:tcBorders>
            <w:shd w:val="clear" w:color="auto" w:fill="F1F2F2"/>
          </w:tcPr>
          <w:p>
            <w:pPr>
              <w:jc w:val="right"/>
              <w:ind w:right="148"/>
              <w:spacing w:after="0"/>
              <w:rPr>
                <w:sz w:val="20"/>
                <w:szCs w:val="20"/>
                <w:color w:val="auto"/>
              </w:rPr>
            </w:pPr>
            <w:r>
              <w:rPr>
                <w:rFonts w:ascii="Arial" w:cs="Arial" w:eastAsia="Arial" w:hAnsi="Arial"/>
                <w:sz w:val="14"/>
                <w:szCs w:val="14"/>
                <w:color w:val="auto"/>
              </w:rPr>
              <w:t>—</w:t>
            </w:r>
          </w:p>
        </w:tc>
      </w:tr>
    </w:tbl>
    <w:p>
      <w:pPr>
        <w:spacing w:after="0" w:line="126" w:lineRule="exact"/>
        <w:rPr>
          <w:sz w:val="20"/>
          <w:szCs w:val="20"/>
          <w:color w:val="auto"/>
        </w:rPr>
      </w:pPr>
    </w:p>
    <w:p>
      <w:pPr>
        <w:ind w:left="340" w:right="40" w:hanging="332"/>
        <w:spacing w:after="0" w:line="301" w:lineRule="auto"/>
        <w:tabs>
          <w:tab w:leader="none" w:pos="338" w:val="left"/>
        </w:tabs>
        <w:numPr>
          <w:ilvl w:val="0"/>
          <w:numId w:val="29"/>
        </w:numPr>
        <w:rPr>
          <w:rFonts w:ascii="Arial" w:cs="Arial" w:eastAsia="Arial" w:hAnsi="Arial"/>
          <w:sz w:val="14"/>
          <w:szCs w:val="14"/>
          <w:color w:val="auto"/>
        </w:rPr>
      </w:pPr>
      <w:r>
        <w:rPr>
          <w:rFonts w:ascii="Arial" w:cs="Arial" w:eastAsia="Arial" w:hAnsi="Arial"/>
          <w:sz w:val="14"/>
          <w:szCs w:val="14"/>
          <w:color w:val="auto"/>
        </w:rPr>
        <w:t>Information in this table assumes a termination date of December 31, 2025 and a price per share of our common stock of $13.03 (the closing price of our common stock on December 31, 2025).</w:t>
      </w:r>
    </w:p>
    <w:p>
      <w:pPr>
        <w:spacing w:after="0" w:line="1" w:lineRule="exact"/>
        <w:rPr>
          <w:rFonts w:ascii="Arial" w:cs="Arial" w:eastAsia="Arial" w:hAnsi="Arial"/>
          <w:sz w:val="14"/>
          <w:szCs w:val="14"/>
          <w:color w:val="auto"/>
        </w:rPr>
      </w:pPr>
    </w:p>
    <w:p>
      <w:pPr>
        <w:ind w:left="340" w:right="160" w:hanging="332"/>
        <w:spacing w:after="0" w:line="269" w:lineRule="auto"/>
        <w:tabs>
          <w:tab w:leader="none" w:pos="338"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Represents the aggregate cash severance payments payable to the applicable NEO (calculated based on the base salary and target annual bonus in effect as of December 31, 2025) in accordance with the terms of (a) the NAVER WEBTOON Severance Pay Policy for Executives for each NEO except David J. Lee, (b) for Junkoo Kim, the NAVER WEBTOON Severance Pay Policy and the Kim Employment Agreement, and (c) for David J. Lee, his employment agreement. The amounts reported for Chankyu Park and Hyeeun Son include payments of $12,320 and $1,881, respectively, in respect of their Excess Budget Payments for fiscal year 2025.</w:t>
      </w:r>
    </w:p>
    <w:p>
      <w:pPr>
        <w:spacing w:after="0" w:line="20" w:lineRule="exact"/>
        <w:rPr>
          <w:rFonts w:ascii="Arial" w:cs="Arial" w:eastAsia="Arial" w:hAnsi="Arial"/>
          <w:sz w:val="14"/>
          <w:szCs w:val="14"/>
          <w:color w:val="auto"/>
        </w:rPr>
      </w:pPr>
    </w:p>
    <w:p>
      <w:pPr>
        <w:ind w:left="340" w:hanging="332"/>
        <w:spacing w:after="0"/>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Represents the aggregate COBRA payments payable to each of Junkoo Kim and David J. Lee pursuant to their respective employment agreements.</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Represents the aggregate value of acceleration of the restricted stock unit award and stock option award granted to David J. Lee on November 22, 2023.</w:t>
      </w:r>
    </w:p>
    <w:p>
      <w:pPr>
        <w:spacing w:after="0" w:line="399" w:lineRule="exact"/>
        <w:rPr>
          <w:sz w:val="20"/>
          <w:szCs w:val="20"/>
          <w:color w:val="auto"/>
        </w:rPr>
      </w:pPr>
    </w:p>
    <w:p>
      <w:pPr>
        <w:ind w:left="20"/>
        <w:spacing w:after="0"/>
        <w:tabs>
          <w:tab w:leader="none" w:pos="5360" w:val="left"/>
        </w:tabs>
        <w:rPr>
          <w:sz w:val="20"/>
          <w:szCs w:val="20"/>
          <w:color w:val="auto"/>
        </w:rPr>
      </w:pPr>
      <w:r>
        <w:rPr>
          <w:rFonts w:ascii="Arial" w:cs="Arial" w:eastAsia="Arial" w:hAnsi="Arial"/>
          <w:sz w:val="14"/>
          <w:szCs w:val="14"/>
          <w:b w:val="1"/>
          <w:bCs w:val="1"/>
          <w:color w:val="auto"/>
        </w:rPr>
        <w:t>40</w:t>
      </w:r>
      <w:r>
        <w:rPr>
          <w:sz w:val="20"/>
          <w:szCs w:val="20"/>
          <w:color w:val="auto"/>
        </w:rPr>
        <w:tab/>
      </w:r>
      <w:r>
        <w:rPr>
          <w:sz w:val="1"/>
          <w:szCs w:val="1"/>
          <w:color w:val="auto"/>
        </w:rPr>
        <w:drawing>
          <wp:inline distT="0" distB="0" distL="0" distR="0">
            <wp:extent cx="282575" cy="274320"/>
            <wp:effectExtent l="0" t="0" r="0" b="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82575" cy="274320"/>
                    </a:xfrm>
                    <a:prstGeom prst="rect">
                      <a:avLst/>
                    </a:prstGeom>
                    <a:noFill/>
                    <a:ln>
                      <a:noFill/>
                    </a:ln>
                  </pic:spPr>
                </pic:pic>
              </a:graphicData>
            </a:graphic>
          </wp:inline>
        </w:drawing>
      </w:r>
      <w:r>
        <w:rPr>
          <w:rFonts w:ascii="Arial" w:cs="Arial" w:eastAsia="Arial" w:hAnsi="Arial"/>
          <w:sz w:val="14"/>
          <w:szCs w:val="14"/>
          <w:b w:val="1"/>
          <w:bCs w:val="1"/>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20"/>
          <w:szCs w:val="20"/>
          <w:b w:val="1"/>
          <w:bCs w:val="1"/>
          <w:color w:val="00DC64"/>
        </w:rPr>
        <w:t>CEO PAY RATIO</w:t>
      </w:r>
    </w:p>
    <w:p>
      <w:pPr>
        <w:spacing w:after="0" w:line="198" w:lineRule="exact"/>
        <w:rPr>
          <w:sz w:val="20"/>
          <w:szCs w:val="20"/>
          <w:color w:val="auto"/>
        </w:rPr>
      </w:pPr>
    </w:p>
    <w:p>
      <w:pPr>
        <w:ind w:right="80"/>
        <w:spacing w:after="0" w:line="310" w:lineRule="auto"/>
        <w:rPr>
          <w:sz w:val="20"/>
          <w:szCs w:val="20"/>
          <w:color w:val="auto"/>
        </w:rPr>
      </w:pPr>
      <w:r>
        <w:rPr>
          <w:rFonts w:ascii="Arial" w:cs="Arial" w:eastAsia="Arial" w:hAnsi="Arial"/>
          <w:sz w:val="16"/>
          <w:szCs w:val="16"/>
          <w:color w:val="auto"/>
        </w:rPr>
        <w:t>As required by Section 953(b) of the Dodd-Frank Wall Street Reform and Consumer Protection Act, and Item 402(u) of Regulation S-K, we are providing the following information about the relationship between annual total compensation of our median employee and the annual total compensation of our CEO on December 31, 2025, Junkoo Kim.</w:t>
      </w:r>
    </w:p>
    <w:p>
      <w:pPr>
        <w:spacing w:after="0" w:line="124" w:lineRule="exact"/>
        <w:rPr>
          <w:sz w:val="20"/>
          <w:szCs w:val="20"/>
          <w:color w:val="auto"/>
        </w:rPr>
      </w:pPr>
    </w:p>
    <w:p>
      <w:pPr>
        <w:ind w:right="60"/>
        <w:spacing w:after="0" w:line="319" w:lineRule="auto"/>
        <w:rPr>
          <w:sz w:val="20"/>
          <w:szCs w:val="20"/>
          <w:color w:val="auto"/>
        </w:rPr>
      </w:pPr>
      <w:r>
        <w:rPr>
          <w:rFonts w:ascii="Arial" w:cs="Arial" w:eastAsia="Arial" w:hAnsi="Arial"/>
          <w:sz w:val="16"/>
          <w:szCs w:val="16"/>
          <w:color w:val="auto"/>
        </w:rPr>
        <w:t>For the fiscal year ended December 31, 2025, the annual total compensation of our median employee was $81,147, and the annual total compensation of our CEO, as reported in the Summary Compensation Table, was $935,582. Based on this information, the ratio of the annual total compensation of our CEO to the annual total compensation of our median employee for fiscal year 2025 was 11.53 to 1.</w:t>
      </w:r>
    </w:p>
    <w:p>
      <w:pPr>
        <w:spacing w:after="0" w:line="103" w:lineRule="exact"/>
        <w:rPr>
          <w:sz w:val="20"/>
          <w:szCs w:val="20"/>
          <w:color w:val="auto"/>
        </w:rPr>
      </w:pPr>
    </w:p>
    <w:p>
      <w:pPr>
        <w:ind w:right="440"/>
        <w:spacing w:after="0" w:line="339" w:lineRule="auto"/>
        <w:rPr>
          <w:sz w:val="20"/>
          <w:szCs w:val="20"/>
          <w:color w:val="auto"/>
        </w:rPr>
      </w:pPr>
      <w:r>
        <w:rPr>
          <w:rFonts w:ascii="Arial" w:cs="Arial" w:eastAsia="Arial" w:hAnsi="Arial"/>
          <w:sz w:val="16"/>
          <w:szCs w:val="16"/>
          <w:color w:val="auto"/>
        </w:rPr>
        <w:t>To identify the median employee, we captured all employees as of December 31, 2025 excluding independent contractors, and other individuals whose compensation is determined by unaffiliated third parties.</w:t>
      </w:r>
    </w:p>
    <w:p>
      <w:pPr>
        <w:spacing w:after="0" w:line="101"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As our consistently applied compensation measure, we used gross payroll data for the 12-month period ended on December 31, 2025, modified by adjusting the gross payroll data to exclude any income related to the vesting and exercise of prior equity awards and instead including the grant date fair value of equity awards granted during fiscal year 2025. Compensation paid in foreign currencies was converted to U.S. dollars using the exchange rate as of December 31, 2025.</w:t>
      </w:r>
    </w:p>
    <w:p>
      <w:pPr>
        <w:spacing w:after="0" w:line="128" w:lineRule="exact"/>
        <w:rPr>
          <w:sz w:val="20"/>
          <w:szCs w:val="20"/>
          <w:color w:val="auto"/>
        </w:rPr>
      </w:pPr>
    </w:p>
    <w:p>
      <w:pPr>
        <w:jc w:val="both"/>
        <w:ind w:right="280"/>
        <w:spacing w:after="0" w:line="319" w:lineRule="auto"/>
        <w:rPr>
          <w:sz w:val="20"/>
          <w:szCs w:val="20"/>
          <w:color w:val="auto"/>
        </w:rPr>
      </w:pPr>
      <w:r>
        <w:rPr>
          <w:rFonts w:ascii="Arial" w:cs="Arial" w:eastAsia="Arial" w:hAnsi="Arial"/>
          <w:sz w:val="16"/>
          <w:szCs w:val="16"/>
          <w:color w:val="auto"/>
        </w:rPr>
        <w:t>Once the median compensated employee was identified using this methodology, we calculated that individual’s annual total compensation for 2025 in the same manner used to calculate the CEO’s total compensation as set forth in the Summary Compensation Table. The methodology and pay ratio reported above is a reasonable estimate calculated in a manner consistent with SEC rules based on our internal records and the process described herein.</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color w:val="00DC64"/>
        </w:rPr>
        <w:t>PAY VERSUS PERFORMANCE</w:t>
      </w:r>
    </w:p>
    <w:p>
      <w:pPr>
        <w:spacing w:after="0" w:line="185"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As required by Section 953(a) of the Dodd-Frank Wall Street Reform and Consumer Protection Act, and Item 402(v) of Regulation S-K, we are providing the following information about the relationship between executive compensation actually paid and certain financial performance of the Company. For further information concerning our variable pay-for-performance philosophy and how we align executive compensation with the Company’s performance, refer to “Executive Compensation—Compensation Discussion and Analysis” above.</w:t>
      </w:r>
    </w:p>
    <w:p>
      <w:pPr>
        <w:spacing w:after="0" w:line="155" w:lineRule="exact"/>
        <w:rPr>
          <w:sz w:val="20"/>
          <w:szCs w:val="20"/>
          <w:color w:val="auto"/>
        </w:rPr>
      </w:pPr>
    </w:p>
    <w:p>
      <w:pPr>
        <w:jc w:val="center"/>
        <w:ind w:left="3880"/>
        <w:spacing w:after="0"/>
        <w:rPr>
          <w:sz w:val="20"/>
          <w:szCs w:val="20"/>
          <w:color w:val="auto"/>
        </w:rPr>
      </w:pPr>
      <w:r>
        <w:rPr>
          <w:rFonts w:ascii="Arial" w:cs="Arial" w:eastAsia="Arial" w:hAnsi="Arial"/>
          <w:sz w:val="14"/>
          <w:szCs w:val="14"/>
          <w:b w:val="1"/>
          <w:bCs w:val="1"/>
          <w:color w:val="auto"/>
        </w:rPr>
        <w:t>Value of Initial Fixed $100</w:t>
      </w:r>
    </w:p>
    <w:p>
      <w:pPr>
        <w:spacing w:after="0" w:line="29" w:lineRule="exact"/>
        <w:rPr>
          <w:sz w:val="20"/>
          <w:szCs w:val="20"/>
          <w:color w:val="auto"/>
        </w:rPr>
      </w:pPr>
    </w:p>
    <w:p>
      <w:pPr>
        <w:jc w:val="center"/>
        <w:ind w:left="3880"/>
        <w:spacing w:after="0"/>
        <w:rPr>
          <w:sz w:val="20"/>
          <w:szCs w:val="20"/>
          <w:color w:val="auto"/>
        </w:rPr>
      </w:pPr>
      <w:r>
        <w:rPr>
          <w:rFonts w:ascii="Arial" w:cs="Arial" w:eastAsia="Arial" w:hAnsi="Arial"/>
          <w:sz w:val="14"/>
          <w:szCs w:val="14"/>
          <w:b w:val="1"/>
          <w:bCs w:val="1"/>
          <w:color w:val="auto"/>
        </w:rPr>
        <w:t>Investment In:</w:t>
      </w:r>
    </w:p>
    <w:p>
      <w:pPr>
        <w:sectPr>
          <w:pgSz w:w="11900" w:h="16838" w:orient="portrait"/>
          <w:cols w:equalWidth="0" w:num="1">
            <w:col w:w="11240"/>
          </w:cols>
          <w:pgMar w:left="320" w:top="130" w:right="339" w:bottom="1440" w:gutter="0" w:footer="0" w:header="0"/>
        </w:sectPr>
      </w:pPr>
    </w:p>
    <w:p>
      <w:pPr>
        <w:spacing w:after="0" w:line="163" w:lineRule="exact"/>
        <w:rPr>
          <w:sz w:val="20"/>
          <w:szCs w:val="20"/>
          <w:color w:val="auto"/>
        </w:rPr>
      </w:pPr>
    </w:p>
    <w:tbl>
      <w:tblPr>
        <w:tblLayout w:type="fixed"/>
        <w:tblInd w:w="180" w:type="dxa"/>
        <w:tblCellMar>
          <w:top w:w="0" w:type="dxa"/>
          <w:left w:w="0" w:type="dxa"/>
          <w:bottom w:w="0" w:type="dxa"/>
          <w:right w:w="0" w:type="dxa"/>
        </w:tblCellMar>
      </w:tblPr>
      <w:tr>
        <w:trPr>
          <w:trHeight w:val="175"/>
        </w:trPr>
        <w:tc>
          <w:tcPr>
            <w:tcW w:w="600" w:type="dxa"/>
            <w:vAlign w:val="bottom"/>
          </w:tcPr>
          <w:p>
            <w:pPr>
              <w:spacing w:after="0"/>
              <w:rPr>
                <w:sz w:val="15"/>
                <w:szCs w:val="15"/>
                <w:color w:val="auto"/>
              </w:rPr>
            </w:pPr>
          </w:p>
        </w:tc>
        <w:tc>
          <w:tcPr>
            <w:tcW w:w="1460" w:type="dxa"/>
            <w:vAlign w:val="bottom"/>
          </w:tcPr>
          <w:p>
            <w:pPr>
              <w:jc w:val="right"/>
              <w:ind w:right="108"/>
              <w:spacing w:after="0"/>
              <w:rPr>
                <w:sz w:val="20"/>
                <w:szCs w:val="20"/>
                <w:color w:val="auto"/>
              </w:rPr>
            </w:pPr>
            <w:r>
              <w:rPr>
                <w:rFonts w:ascii="Arial" w:cs="Arial" w:eastAsia="Arial" w:hAnsi="Arial"/>
                <w:sz w:val="14"/>
                <w:szCs w:val="14"/>
                <w:b w:val="1"/>
                <w:bCs w:val="1"/>
                <w:color w:val="auto"/>
              </w:rPr>
              <w:t>Summary</w:t>
            </w:r>
          </w:p>
        </w:tc>
        <w:tc>
          <w:tcPr>
            <w:tcW w:w="13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Average Summary</w:t>
            </w:r>
          </w:p>
        </w:tc>
        <w:tc>
          <w:tcPr>
            <w:tcW w:w="0" w:type="dxa"/>
            <w:vAlign w:val="bottom"/>
          </w:tcPr>
          <w:p>
            <w:pPr>
              <w:spacing w:after="0"/>
              <w:rPr>
                <w:sz w:val="1"/>
                <w:szCs w:val="1"/>
                <w:color w:val="auto"/>
              </w:rPr>
            </w:pPr>
          </w:p>
        </w:tc>
      </w:tr>
      <w:tr>
        <w:trPr>
          <w:trHeight w:val="175"/>
        </w:trPr>
        <w:tc>
          <w:tcPr>
            <w:tcW w:w="600" w:type="dxa"/>
            <w:vAlign w:val="bottom"/>
          </w:tcPr>
          <w:p>
            <w:pPr>
              <w:spacing w:after="0"/>
              <w:rPr>
                <w:sz w:val="15"/>
                <w:szCs w:val="15"/>
                <w:color w:val="auto"/>
              </w:rPr>
            </w:pPr>
          </w:p>
        </w:tc>
        <w:tc>
          <w:tcPr>
            <w:tcW w:w="1460" w:type="dxa"/>
            <w:vAlign w:val="bottom"/>
          </w:tcPr>
          <w:p>
            <w:pPr>
              <w:jc w:val="right"/>
              <w:ind w:right="108"/>
              <w:spacing w:after="0"/>
              <w:rPr>
                <w:sz w:val="20"/>
                <w:szCs w:val="20"/>
                <w:color w:val="auto"/>
              </w:rPr>
            </w:pPr>
            <w:r>
              <w:rPr>
                <w:rFonts w:ascii="Arial" w:cs="Arial" w:eastAsia="Arial" w:hAnsi="Arial"/>
                <w:sz w:val="14"/>
                <w:szCs w:val="14"/>
                <w:b w:val="1"/>
                <w:bCs w:val="1"/>
                <w:color w:val="auto"/>
              </w:rPr>
              <w:t>Compensation</w:t>
            </w:r>
          </w:p>
        </w:tc>
        <w:tc>
          <w:tcPr>
            <w:tcW w:w="1320" w:type="dxa"/>
            <w:vAlign w:val="bottom"/>
          </w:tcPr>
          <w:p>
            <w:pPr>
              <w:jc w:val="right"/>
              <w:ind w:right="13"/>
              <w:spacing w:after="0"/>
              <w:rPr>
                <w:sz w:val="20"/>
                <w:szCs w:val="20"/>
                <w:color w:val="auto"/>
              </w:rPr>
            </w:pPr>
            <w:r>
              <w:rPr>
                <w:rFonts w:ascii="Arial" w:cs="Arial" w:eastAsia="Arial" w:hAnsi="Arial"/>
                <w:sz w:val="14"/>
                <w:szCs w:val="14"/>
                <w:b w:val="1"/>
                <w:bCs w:val="1"/>
                <w:color w:val="auto"/>
              </w:rPr>
              <w:t>Compensation</w:t>
            </w: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Compensation</w:t>
            </w:r>
          </w:p>
        </w:tc>
        <w:tc>
          <w:tcPr>
            <w:tcW w:w="0" w:type="dxa"/>
            <w:vAlign w:val="bottom"/>
          </w:tcPr>
          <w:p>
            <w:pPr>
              <w:spacing w:after="0"/>
              <w:rPr>
                <w:sz w:val="1"/>
                <w:szCs w:val="1"/>
                <w:color w:val="auto"/>
              </w:rPr>
            </w:pPr>
          </w:p>
        </w:tc>
      </w:tr>
      <w:tr>
        <w:trPr>
          <w:trHeight w:val="173"/>
        </w:trPr>
        <w:tc>
          <w:tcPr>
            <w:tcW w:w="600" w:type="dxa"/>
            <w:vAlign w:val="bottom"/>
          </w:tcPr>
          <w:p>
            <w:pPr>
              <w:spacing w:after="0"/>
              <w:rPr>
                <w:sz w:val="15"/>
                <w:szCs w:val="15"/>
                <w:color w:val="auto"/>
              </w:rPr>
            </w:pPr>
          </w:p>
        </w:tc>
        <w:tc>
          <w:tcPr>
            <w:tcW w:w="1460" w:type="dxa"/>
            <w:vAlign w:val="bottom"/>
          </w:tcPr>
          <w:p>
            <w:pPr>
              <w:jc w:val="right"/>
              <w:ind w:right="108"/>
              <w:spacing w:after="0"/>
              <w:rPr>
                <w:sz w:val="20"/>
                <w:szCs w:val="20"/>
                <w:color w:val="auto"/>
              </w:rPr>
            </w:pPr>
            <w:r>
              <w:rPr>
                <w:rFonts w:ascii="Arial" w:cs="Arial" w:eastAsia="Arial" w:hAnsi="Arial"/>
                <w:sz w:val="14"/>
                <w:szCs w:val="14"/>
                <w:b w:val="1"/>
                <w:bCs w:val="1"/>
                <w:color w:val="auto"/>
              </w:rPr>
              <w:t>Table Total</w:t>
            </w:r>
          </w:p>
        </w:tc>
        <w:tc>
          <w:tcPr>
            <w:tcW w:w="2640" w:type="dxa"/>
            <w:vAlign w:val="bottom"/>
            <w:gridSpan w:val="2"/>
          </w:tcPr>
          <w:p>
            <w:pPr>
              <w:jc w:val="right"/>
              <w:spacing w:after="0"/>
              <w:rPr>
                <w:sz w:val="20"/>
                <w:szCs w:val="20"/>
                <w:color w:val="auto"/>
              </w:rPr>
            </w:pPr>
            <w:r>
              <w:rPr>
                <w:rFonts w:ascii="Arial" w:cs="Arial" w:eastAsia="Arial" w:hAnsi="Arial"/>
                <w:sz w:val="14"/>
                <w:szCs w:val="14"/>
                <w:b w:val="1"/>
                <w:bCs w:val="1"/>
                <w:color w:val="auto"/>
              </w:rPr>
              <w:t>Actually Paid to Table Total for Non-</w:t>
            </w:r>
          </w:p>
        </w:tc>
        <w:tc>
          <w:tcPr>
            <w:tcW w:w="0" w:type="dxa"/>
            <w:vAlign w:val="bottom"/>
          </w:tcPr>
          <w:p>
            <w:pPr>
              <w:spacing w:after="0"/>
              <w:rPr>
                <w:sz w:val="1"/>
                <w:szCs w:val="1"/>
                <w:color w:val="auto"/>
              </w:rPr>
            </w:pPr>
          </w:p>
        </w:tc>
      </w:tr>
      <w:tr>
        <w:trPr>
          <w:trHeight w:val="178"/>
        </w:trPr>
        <w:tc>
          <w:tcPr>
            <w:tcW w:w="600" w:type="dxa"/>
            <w:vAlign w:val="bottom"/>
            <w:vMerge w:val="restart"/>
          </w:tcPr>
          <w:p>
            <w:pPr>
              <w:jc w:val="center"/>
              <w:ind w:right="208"/>
              <w:spacing w:after="0"/>
              <w:rPr>
                <w:sz w:val="20"/>
                <w:szCs w:val="20"/>
                <w:color w:val="auto"/>
              </w:rPr>
            </w:pPr>
            <w:r>
              <w:rPr>
                <w:rFonts w:ascii="Arial" w:cs="Arial" w:eastAsia="Arial" w:hAnsi="Arial"/>
                <w:sz w:val="14"/>
                <w:szCs w:val="14"/>
                <w:b w:val="1"/>
                <w:bCs w:val="1"/>
                <w:color w:val="auto"/>
              </w:rPr>
              <w:t>Year</w:t>
            </w:r>
          </w:p>
        </w:tc>
        <w:tc>
          <w:tcPr>
            <w:tcW w:w="1460" w:type="dxa"/>
            <w:vAlign w:val="bottom"/>
          </w:tcPr>
          <w:p>
            <w:pPr>
              <w:jc w:val="right"/>
              <w:ind w:right="108"/>
              <w:spacing w:after="0" w:line="178" w:lineRule="exact"/>
              <w:rPr>
                <w:sz w:val="20"/>
                <w:szCs w:val="20"/>
                <w:color w:val="auto"/>
              </w:rPr>
            </w:pPr>
            <w:r>
              <w:rPr>
                <w:rFonts w:ascii="Arial" w:cs="Arial" w:eastAsia="Arial" w:hAnsi="Arial"/>
                <w:sz w:val="14"/>
                <w:szCs w:val="14"/>
                <w:b w:val="1"/>
                <w:bCs w:val="1"/>
                <w:color w:val="auto"/>
              </w:rPr>
              <w:t>for CEO</w:t>
            </w:r>
            <w:r>
              <w:rPr>
                <w:rFonts w:ascii="Arial" w:cs="Arial" w:eastAsia="Arial" w:hAnsi="Arial"/>
                <w:sz w:val="18"/>
                <w:szCs w:val="18"/>
                <w:b w:val="1"/>
                <w:bCs w:val="1"/>
                <w:color w:val="auto"/>
                <w:vertAlign w:val="superscript"/>
              </w:rPr>
              <w:t>(1)</w:t>
            </w:r>
          </w:p>
        </w:tc>
        <w:tc>
          <w:tcPr>
            <w:tcW w:w="1320" w:type="dxa"/>
            <w:vAlign w:val="bottom"/>
          </w:tcPr>
          <w:p>
            <w:pPr>
              <w:jc w:val="right"/>
              <w:ind w:right="13"/>
              <w:spacing w:after="0" w:line="178" w:lineRule="exact"/>
              <w:rPr>
                <w:sz w:val="20"/>
                <w:szCs w:val="20"/>
                <w:color w:val="auto"/>
              </w:rPr>
            </w:pPr>
            <w:r>
              <w:rPr>
                <w:rFonts w:ascii="Arial" w:cs="Arial" w:eastAsia="Arial" w:hAnsi="Arial"/>
                <w:sz w:val="20"/>
                <w:szCs w:val="20"/>
                <w:b w:val="1"/>
                <w:bCs w:val="1"/>
                <w:color w:val="auto"/>
                <w:vertAlign w:val="subscript"/>
              </w:rPr>
              <w:t>CEO</w:t>
            </w:r>
            <w:r>
              <w:rPr>
                <w:rFonts w:ascii="Arial" w:cs="Arial" w:eastAsia="Arial" w:hAnsi="Arial"/>
                <w:sz w:val="8"/>
                <w:szCs w:val="8"/>
                <w:b w:val="1"/>
                <w:bCs w:val="1"/>
                <w:color w:val="auto"/>
              </w:rPr>
              <w:t>(1)(2)</w:t>
            </w:r>
          </w:p>
        </w:tc>
        <w:tc>
          <w:tcPr>
            <w:tcW w:w="1320" w:type="dxa"/>
            <w:vAlign w:val="bottom"/>
          </w:tcPr>
          <w:p>
            <w:pPr>
              <w:jc w:val="right"/>
              <w:spacing w:after="0" w:line="178" w:lineRule="exact"/>
              <w:rPr>
                <w:sz w:val="20"/>
                <w:szCs w:val="20"/>
                <w:color w:val="auto"/>
              </w:rPr>
            </w:pPr>
            <w:r>
              <w:rPr>
                <w:rFonts w:ascii="Arial" w:cs="Arial" w:eastAsia="Arial" w:hAnsi="Arial"/>
                <w:sz w:val="14"/>
                <w:szCs w:val="14"/>
                <w:b w:val="1"/>
                <w:bCs w:val="1"/>
                <w:color w:val="auto"/>
              </w:rPr>
              <w:t>CEO NEOs</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196"/>
        </w:trPr>
        <w:tc>
          <w:tcPr>
            <w:tcW w:w="600" w:type="dxa"/>
            <w:vAlign w:val="bottom"/>
            <w:vMerge w:val="continue"/>
          </w:tcPr>
          <w:p>
            <w:pPr>
              <w:spacing w:after="0"/>
              <w:rPr>
                <w:sz w:val="17"/>
                <w:szCs w:val="17"/>
                <w:color w:val="auto"/>
              </w:rPr>
            </w:pPr>
          </w:p>
        </w:tc>
        <w:tc>
          <w:tcPr>
            <w:tcW w:w="146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1320" w:type="dxa"/>
            <w:vAlign w:val="bottom"/>
          </w:tcPr>
          <w:p>
            <w:pPr>
              <w:jc w:val="right"/>
              <w:ind w:right="13"/>
              <w:spacing w:after="0"/>
              <w:rPr>
                <w:sz w:val="20"/>
                <w:szCs w:val="20"/>
                <w:color w:val="auto"/>
              </w:rPr>
            </w:pPr>
            <w:r>
              <w:rPr>
                <w:rFonts w:ascii="Arial" w:cs="Arial" w:eastAsia="Arial" w:hAnsi="Arial"/>
                <w:sz w:val="14"/>
                <w:szCs w:val="14"/>
                <w:b w:val="1"/>
                <w:bCs w:val="1"/>
                <w:color w:val="auto"/>
              </w:rPr>
              <w:t>($)</w:t>
            </w: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6"/>
        </w:trPr>
        <w:tc>
          <w:tcPr>
            <w:tcW w:w="600" w:type="dxa"/>
            <w:vAlign w:val="bottom"/>
          </w:tcPr>
          <w:p>
            <w:pPr>
              <w:jc w:val="center"/>
              <w:ind w:right="208"/>
              <w:spacing w:after="0"/>
              <w:rPr>
                <w:sz w:val="20"/>
                <w:szCs w:val="20"/>
                <w:color w:val="auto"/>
              </w:rPr>
            </w:pPr>
            <w:r>
              <w:rPr>
                <w:rFonts w:ascii="Arial" w:cs="Arial" w:eastAsia="Arial" w:hAnsi="Arial"/>
                <w:sz w:val="14"/>
                <w:szCs w:val="14"/>
                <w:b w:val="1"/>
                <w:bCs w:val="1"/>
                <w:color w:val="auto"/>
                <w:w w:val="93"/>
              </w:rPr>
              <w:t>(a)</w:t>
            </w:r>
          </w:p>
        </w:tc>
        <w:tc>
          <w:tcPr>
            <w:tcW w:w="1460" w:type="dxa"/>
            <w:vAlign w:val="bottom"/>
          </w:tcPr>
          <w:p>
            <w:pPr>
              <w:jc w:val="right"/>
              <w:ind w:right="108"/>
              <w:spacing w:after="0"/>
              <w:rPr>
                <w:sz w:val="20"/>
                <w:szCs w:val="20"/>
                <w:color w:val="auto"/>
              </w:rPr>
            </w:pPr>
            <w:r>
              <w:rPr>
                <w:rFonts w:ascii="Arial" w:cs="Arial" w:eastAsia="Arial" w:hAnsi="Arial"/>
                <w:sz w:val="14"/>
                <w:szCs w:val="14"/>
                <w:b w:val="1"/>
                <w:bCs w:val="1"/>
                <w:color w:val="auto"/>
              </w:rPr>
              <w:t>(b)</w:t>
            </w:r>
          </w:p>
        </w:tc>
        <w:tc>
          <w:tcPr>
            <w:tcW w:w="1320" w:type="dxa"/>
            <w:vAlign w:val="bottom"/>
          </w:tcPr>
          <w:p>
            <w:pPr>
              <w:jc w:val="right"/>
              <w:ind w:right="13"/>
              <w:spacing w:after="0"/>
              <w:rPr>
                <w:sz w:val="20"/>
                <w:szCs w:val="20"/>
                <w:color w:val="auto"/>
              </w:rPr>
            </w:pPr>
            <w:r>
              <w:rPr>
                <w:rFonts w:ascii="Arial" w:cs="Arial" w:eastAsia="Arial" w:hAnsi="Arial"/>
                <w:sz w:val="14"/>
                <w:szCs w:val="14"/>
                <w:b w:val="1"/>
                <w:bCs w:val="1"/>
                <w:color w:val="auto"/>
              </w:rPr>
              <w:t>(c)</w:t>
            </w: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(d)</w:t>
            </w:r>
          </w:p>
        </w:tc>
        <w:tc>
          <w:tcPr>
            <w:tcW w:w="0" w:type="dxa"/>
            <w:vAlign w:val="bottom"/>
          </w:tcPr>
          <w:p>
            <w:pPr>
              <w:spacing w:after="0"/>
              <w:rPr>
                <w:sz w:val="1"/>
                <w:szCs w:val="1"/>
                <w:color w:val="auto"/>
              </w:rPr>
            </w:pPr>
          </w:p>
        </w:tc>
      </w:tr>
      <w:tr>
        <w:trPr>
          <w:trHeight w:val="324"/>
        </w:trPr>
        <w:tc>
          <w:tcPr>
            <w:tcW w:w="600" w:type="dxa"/>
            <w:vAlign w:val="bottom"/>
          </w:tcPr>
          <w:p>
            <w:pPr>
              <w:jc w:val="center"/>
              <w:ind w:right="208"/>
              <w:spacing w:after="0"/>
              <w:rPr>
                <w:sz w:val="20"/>
                <w:szCs w:val="20"/>
                <w:color w:val="auto"/>
              </w:rPr>
            </w:pPr>
            <w:r>
              <w:rPr>
                <w:rFonts w:ascii="Arial" w:cs="Arial" w:eastAsia="Arial" w:hAnsi="Arial"/>
                <w:sz w:val="14"/>
                <w:szCs w:val="14"/>
                <w:b w:val="1"/>
                <w:bCs w:val="1"/>
                <w:color w:val="auto"/>
              </w:rPr>
              <w:t>2025</w:t>
            </w:r>
          </w:p>
        </w:tc>
        <w:tc>
          <w:tcPr>
            <w:tcW w:w="1460" w:type="dxa"/>
            <w:vAlign w:val="bottom"/>
          </w:tcPr>
          <w:p>
            <w:pPr>
              <w:jc w:val="right"/>
              <w:ind w:right="148"/>
              <w:spacing w:after="0"/>
              <w:rPr>
                <w:sz w:val="20"/>
                <w:szCs w:val="20"/>
                <w:color w:val="auto"/>
              </w:rPr>
            </w:pPr>
            <w:r>
              <w:rPr>
                <w:rFonts w:ascii="Arial" w:cs="Arial" w:eastAsia="Arial" w:hAnsi="Arial"/>
                <w:sz w:val="14"/>
                <w:szCs w:val="14"/>
                <w:color w:val="auto"/>
              </w:rPr>
              <w:t>935,582</w:t>
            </w:r>
          </w:p>
        </w:tc>
        <w:tc>
          <w:tcPr>
            <w:tcW w:w="1320" w:type="dxa"/>
            <w:vAlign w:val="bottom"/>
          </w:tcPr>
          <w:p>
            <w:pPr>
              <w:jc w:val="right"/>
              <w:ind w:right="53"/>
              <w:spacing w:after="0"/>
              <w:rPr>
                <w:sz w:val="20"/>
                <w:szCs w:val="20"/>
                <w:color w:val="auto"/>
              </w:rPr>
            </w:pPr>
            <w:r>
              <w:rPr>
                <w:rFonts w:ascii="Arial" w:cs="Arial" w:eastAsia="Arial" w:hAnsi="Arial"/>
                <w:sz w:val="14"/>
                <w:szCs w:val="14"/>
                <w:color w:val="auto"/>
              </w:rPr>
              <w:t>935,582</w:t>
            </w:r>
          </w:p>
        </w:tc>
        <w:tc>
          <w:tcPr>
            <w:tcW w:w="1320" w:type="dxa"/>
            <w:vAlign w:val="bottom"/>
          </w:tcPr>
          <w:p>
            <w:pPr>
              <w:jc w:val="right"/>
              <w:spacing w:after="0"/>
              <w:rPr>
                <w:sz w:val="20"/>
                <w:szCs w:val="20"/>
                <w:color w:val="auto"/>
              </w:rPr>
            </w:pPr>
            <w:r>
              <w:rPr>
                <w:rFonts w:ascii="Arial" w:cs="Arial" w:eastAsia="Arial" w:hAnsi="Arial"/>
                <w:sz w:val="14"/>
                <w:szCs w:val="14"/>
                <w:color w:val="auto"/>
              </w:rPr>
              <w:t>599,792</w:t>
            </w:r>
          </w:p>
        </w:tc>
        <w:tc>
          <w:tcPr>
            <w:tcW w:w="0" w:type="dxa"/>
            <w:vAlign w:val="bottom"/>
          </w:tcPr>
          <w:p>
            <w:pPr>
              <w:spacing w:after="0"/>
              <w:rPr>
                <w:sz w:val="1"/>
                <w:szCs w:val="1"/>
                <w:color w:val="auto"/>
              </w:rPr>
            </w:pPr>
          </w:p>
        </w:tc>
      </w:tr>
      <w:tr>
        <w:trPr>
          <w:trHeight w:val="230"/>
        </w:trPr>
        <w:tc>
          <w:tcPr>
            <w:tcW w:w="600" w:type="dxa"/>
            <w:vAlign w:val="bottom"/>
          </w:tcPr>
          <w:p>
            <w:pPr>
              <w:jc w:val="center"/>
              <w:ind w:right="208"/>
              <w:spacing w:after="0"/>
              <w:rPr>
                <w:sz w:val="20"/>
                <w:szCs w:val="20"/>
                <w:color w:val="auto"/>
              </w:rPr>
            </w:pPr>
            <w:r>
              <w:rPr>
                <w:rFonts w:ascii="Arial" w:cs="Arial" w:eastAsia="Arial" w:hAnsi="Arial"/>
                <w:sz w:val="14"/>
                <w:szCs w:val="14"/>
                <w:b w:val="1"/>
                <w:bCs w:val="1"/>
                <w:color w:val="auto"/>
              </w:rPr>
              <w:t>2024</w:t>
            </w:r>
          </w:p>
        </w:tc>
        <w:tc>
          <w:tcPr>
            <w:tcW w:w="1460" w:type="dxa"/>
            <w:vAlign w:val="bottom"/>
          </w:tcPr>
          <w:p>
            <w:pPr>
              <w:jc w:val="right"/>
              <w:ind w:right="148"/>
              <w:spacing w:after="0"/>
              <w:rPr>
                <w:sz w:val="20"/>
                <w:szCs w:val="20"/>
                <w:color w:val="auto"/>
              </w:rPr>
            </w:pPr>
            <w:r>
              <w:rPr>
                <w:rFonts w:ascii="Arial" w:cs="Arial" w:eastAsia="Arial" w:hAnsi="Arial"/>
                <w:sz w:val="14"/>
                <w:szCs w:val="14"/>
                <w:color w:val="auto"/>
              </w:rPr>
              <w:t>41,095,031</w:t>
            </w:r>
          </w:p>
        </w:tc>
        <w:tc>
          <w:tcPr>
            <w:tcW w:w="1320" w:type="dxa"/>
            <w:vAlign w:val="bottom"/>
          </w:tcPr>
          <w:p>
            <w:pPr>
              <w:jc w:val="right"/>
              <w:ind w:right="53"/>
              <w:spacing w:after="0"/>
              <w:rPr>
                <w:sz w:val="20"/>
                <w:szCs w:val="20"/>
                <w:color w:val="auto"/>
              </w:rPr>
            </w:pPr>
            <w:r>
              <w:rPr>
                <w:rFonts w:ascii="Arial" w:cs="Arial" w:eastAsia="Arial" w:hAnsi="Arial"/>
                <w:sz w:val="14"/>
                <w:szCs w:val="14"/>
                <w:color w:val="auto"/>
              </w:rPr>
              <w:t>16,571,776</w:t>
            </w:r>
          </w:p>
        </w:tc>
        <w:tc>
          <w:tcPr>
            <w:tcW w:w="1320" w:type="dxa"/>
            <w:vAlign w:val="bottom"/>
          </w:tcPr>
          <w:p>
            <w:pPr>
              <w:jc w:val="right"/>
              <w:spacing w:after="0"/>
              <w:rPr>
                <w:sz w:val="20"/>
                <w:szCs w:val="20"/>
                <w:color w:val="auto"/>
              </w:rPr>
            </w:pPr>
            <w:r>
              <w:rPr>
                <w:rFonts w:ascii="Arial" w:cs="Arial" w:eastAsia="Arial" w:hAnsi="Arial"/>
                <w:sz w:val="14"/>
                <w:szCs w:val="14"/>
                <w:color w:val="auto"/>
              </w:rPr>
              <w:t>3,656,904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Average</w:t>
            </w:r>
          </w:p>
        </w:tc>
        <w:tc>
          <w:tcPr>
            <w:tcW w:w="14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Peer</w:t>
            </w:r>
          </w:p>
        </w:tc>
        <w:tc>
          <w:tcPr>
            <w:tcW w:w="1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13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Compensation</w:t>
            </w:r>
          </w:p>
        </w:tc>
        <w:tc>
          <w:tcPr>
            <w:tcW w:w="142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1320" w:type="dxa"/>
            <w:vAlign w:val="bottom"/>
            <w:vMerge w:val="continue"/>
          </w:tcPr>
          <w:p>
            <w:pPr>
              <w:spacing w:after="0"/>
              <w:rPr>
                <w:sz w:val="5"/>
                <w:szCs w:val="5"/>
                <w:color w:val="auto"/>
              </w:rPr>
            </w:pPr>
          </w:p>
        </w:tc>
        <w:tc>
          <w:tcPr>
            <w:tcW w:w="142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rPr>
              <w:t>Total</w:t>
            </w:r>
          </w:p>
        </w:tc>
        <w:tc>
          <w:tcPr>
            <w:tcW w:w="10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Group Total</w:t>
            </w:r>
          </w:p>
        </w:tc>
        <w:tc>
          <w:tcPr>
            <w:tcW w:w="136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Net Income</w:t>
            </w: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108"/>
        </w:trPr>
        <w:tc>
          <w:tcPr>
            <w:tcW w:w="13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Actually Paid to</w:t>
            </w:r>
          </w:p>
        </w:tc>
        <w:tc>
          <w:tcPr>
            <w:tcW w:w="142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5"/>
        </w:trPr>
        <w:tc>
          <w:tcPr>
            <w:tcW w:w="1320" w:type="dxa"/>
            <w:vAlign w:val="bottom"/>
            <w:vMerge w:val="continue"/>
          </w:tcPr>
          <w:p>
            <w:pPr>
              <w:spacing w:after="0"/>
              <w:rPr>
                <w:sz w:val="5"/>
                <w:szCs w:val="5"/>
                <w:color w:val="auto"/>
              </w:rPr>
            </w:pPr>
          </w:p>
        </w:tc>
        <w:tc>
          <w:tcPr>
            <w:tcW w:w="1420" w:type="dxa"/>
            <w:vAlign w:val="bottom"/>
            <w:vMerge w:val="restart"/>
          </w:tcPr>
          <w:p>
            <w:pPr>
              <w:jc w:val="right"/>
              <w:ind w:right="175"/>
              <w:spacing w:after="0" w:line="158" w:lineRule="exact"/>
              <w:rPr>
                <w:sz w:val="20"/>
                <w:szCs w:val="20"/>
                <w:color w:val="auto"/>
              </w:rPr>
            </w:pPr>
            <w:r>
              <w:rPr>
                <w:rFonts w:ascii="Arial" w:cs="Arial" w:eastAsia="Arial" w:hAnsi="Arial"/>
                <w:sz w:val="14"/>
                <w:szCs w:val="14"/>
                <w:b w:val="1"/>
                <w:bCs w:val="1"/>
                <w:color w:val="auto"/>
              </w:rPr>
              <w:t>Stockholder</w:t>
            </w:r>
          </w:p>
        </w:tc>
        <w:tc>
          <w:tcPr>
            <w:tcW w:w="1080" w:type="dxa"/>
            <w:vAlign w:val="bottom"/>
            <w:vMerge w:val="restart"/>
          </w:tcPr>
          <w:p>
            <w:pPr>
              <w:jc w:val="right"/>
              <w:spacing w:after="0" w:line="158" w:lineRule="exact"/>
              <w:rPr>
                <w:sz w:val="20"/>
                <w:szCs w:val="20"/>
                <w:color w:val="auto"/>
              </w:rPr>
            </w:pPr>
            <w:r>
              <w:rPr>
                <w:rFonts w:ascii="Arial" w:cs="Arial" w:eastAsia="Arial" w:hAnsi="Arial"/>
                <w:sz w:val="14"/>
                <w:szCs w:val="14"/>
                <w:b w:val="1"/>
                <w:bCs w:val="1"/>
                <w:color w:val="auto"/>
              </w:rPr>
              <w:t>Stockholder</w:t>
            </w:r>
          </w:p>
        </w:tc>
        <w:tc>
          <w:tcPr>
            <w:tcW w:w="1360" w:type="dxa"/>
            <w:vAlign w:val="bottom"/>
            <w:vMerge w:val="restart"/>
          </w:tcPr>
          <w:p>
            <w:pPr>
              <w:jc w:val="right"/>
              <w:ind w:right="108"/>
              <w:spacing w:after="0" w:line="158" w:lineRule="exact"/>
              <w:rPr>
                <w:sz w:val="20"/>
                <w:szCs w:val="20"/>
                <w:color w:val="auto"/>
              </w:rPr>
            </w:pPr>
            <w:r>
              <w:rPr>
                <w:rFonts w:ascii="Arial" w:cs="Arial" w:eastAsia="Arial" w:hAnsi="Arial"/>
                <w:sz w:val="14"/>
                <w:szCs w:val="14"/>
                <w:b w:val="1"/>
                <w:bCs w:val="1"/>
                <w:color w:val="auto"/>
              </w:rPr>
              <w:t>(Loss) ($</w:t>
            </w:r>
          </w:p>
        </w:tc>
        <w:tc>
          <w:tcPr>
            <w:tcW w:w="900" w:type="dxa"/>
            <w:vAlign w:val="bottom"/>
            <w:vMerge w:val="restart"/>
          </w:tcPr>
          <w:p>
            <w:pPr>
              <w:jc w:val="right"/>
              <w:spacing w:after="0" w:line="158" w:lineRule="exact"/>
              <w:rPr>
                <w:sz w:val="20"/>
                <w:szCs w:val="20"/>
                <w:color w:val="auto"/>
              </w:rPr>
            </w:pPr>
            <w:r>
              <w:rPr>
                <w:rFonts w:ascii="Arial" w:cs="Arial" w:eastAsia="Arial" w:hAnsi="Arial"/>
                <w:sz w:val="14"/>
                <w:szCs w:val="14"/>
                <w:b w:val="1"/>
                <w:bCs w:val="1"/>
                <w:color w:val="auto"/>
              </w:rPr>
              <w:t>EBITDA ($</w:t>
            </w:r>
          </w:p>
        </w:tc>
        <w:tc>
          <w:tcPr>
            <w:tcW w:w="0" w:type="dxa"/>
            <w:vAlign w:val="bottom"/>
          </w:tcPr>
          <w:p>
            <w:pPr>
              <w:spacing w:after="0"/>
              <w:rPr>
                <w:sz w:val="1"/>
                <w:szCs w:val="1"/>
                <w:color w:val="auto"/>
              </w:rPr>
            </w:pPr>
          </w:p>
        </w:tc>
      </w:tr>
      <w:tr>
        <w:trPr>
          <w:trHeight w:val="93"/>
        </w:trPr>
        <w:tc>
          <w:tcPr>
            <w:tcW w:w="1320" w:type="dxa"/>
            <w:vAlign w:val="bottom"/>
          </w:tcPr>
          <w:p>
            <w:pPr>
              <w:jc w:val="right"/>
              <w:spacing w:after="0" w:line="93" w:lineRule="exact"/>
              <w:rPr>
                <w:sz w:val="20"/>
                <w:szCs w:val="20"/>
                <w:color w:val="auto"/>
              </w:rPr>
            </w:pPr>
            <w:r>
              <w:rPr>
                <w:rFonts w:ascii="Arial" w:cs="Arial" w:eastAsia="Arial" w:hAnsi="Arial"/>
                <w:sz w:val="9"/>
                <w:szCs w:val="9"/>
                <w:b w:val="1"/>
                <w:bCs w:val="1"/>
                <w:color w:val="auto"/>
              </w:rPr>
              <w:t>(1)(2)</w:t>
            </w:r>
          </w:p>
        </w:tc>
        <w:tc>
          <w:tcPr>
            <w:tcW w:w="1420" w:type="dxa"/>
            <w:vAlign w:val="bottom"/>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36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32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Non-CEO NEOs</w:t>
            </w:r>
            <w:r>
              <w:rPr>
                <w:rFonts w:ascii="Arial" w:cs="Arial" w:eastAsia="Arial" w:hAnsi="Arial"/>
                <w:sz w:val="14"/>
                <w:szCs w:val="14"/>
                <w:b w:val="1"/>
                <w:bCs w:val="1"/>
                <w:color w:val="auto"/>
                <w:vertAlign w:val="subscript"/>
              </w:rPr>
              <w:t>(3)(4)</w:t>
            </w:r>
          </w:p>
        </w:tc>
        <w:tc>
          <w:tcPr>
            <w:tcW w:w="1420" w:type="dxa"/>
            <w:vAlign w:val="bottom"/>
          </w:tcPr>
          <w:p>
            <w:pPr>
              <w:jc w:val="right"/>
              <w:ind w:right="175"/>
              <w:spacing w:after="0"/>
              <w:rPr>
                <w:sz w:val="20"/>
                <w:szCs w:val="20"/>
                <w:color w:val="auto"/>
              </w:rPr>
            </w:pPr>
            <w:r>
              <w:rPr>
                <w:rFonts w:ascii="Arial" w:cs="Arial" w:eastAsia="Arial" w:hAnsi="Arial"/>
                <w:sz w:val="9"/>
                <w:szCs w:val="9"/>
                <w:b w:val="1"/>
                <w:bCs w:val="1"/>
                <w:color w:val="auto"/>
              </w:rPr>
              <w:t>(4)</w:t>
            </w:r>
          </w:p>
        </w:tc>
        <w:tc>
          <w:tcPr>
            <w:tcW w:w="1080" w:type="dxa"/>
            <w:vAlign w:val="bottom"/>
          </w:tcPr>
          <w:p>
            <w:pPr>
              <w:jc w:val="right"/>
              <w:spacing w:after="0"/>
              <w:rPr>
                <w:sz w:val="20"/>
                <w:szCs w:val="20"/>
                <w:color w:val="auto"/>
              </w:rPr>
            </w:pPr>
            <w:r>
              <w:rPr>
                <w:rFonts w:ascii="Arial" w:cs="Arial" w:eastAsia="Arial" w:hAnsi="Arial"/>
                <w:sz w:val="9"/>
                <w:szCs w:val="9"/>
                <w:b w:val="1"/>
                <w:bCs w:val="1"/>
                <w:color w:val="auto"/>
              </w:rPr>
              <w:t>(5)</w:t>
            </w:r>
          </w:p>
        </w:tc>
        <w:tc>
          <w:tcPr>
            <w:tcW w:w="136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Millions)</w:t>
            </w:r>
          </w:p>
        </w:tc>
        <w:tc>
          <w:tcPr>
            <w:tcW w:w="900" w:type="dxa"/>
            <w:vAlign w:val="bottom"/>
          </w:tcPr>
          <w:p>
            <w:pPr>
              <w:jc w:val="right"/>
              <w:spacing w:after="0"/>
              <w:rPr>
                <w:sz w:val="20"/>
                <w:szCs w:val="20"/>
                <w:color w:val="auto"/>
              </w:rPr>
            </w:pPr>
            <w:r>
              <w:rPr>
                <w:rFonts w:ascii="Arial" w:cs="Arial" w:eastAsia="Arial" w:hAnsi="Arial"/>
                <w:sz w:val="9"/>
                <w:szCs w:val="9"/>
                <w:b w:val="1"/>
                <w:bCs w:val="1"/>
                <w:color w:val="auto"/>
              </w:rPr>
              <w:t>(6)</w:t>
            </w:r>
          </w:p>
        </w:tc>
        <w:tc>
          <w:tcPr>
            <w:tcW w:w="0" w:type="dxa"/>
            <w:vAlign w:val="bottom"/>
          </w:tcPr>
          <w:p>
            <w:pPr>
              <w:spacing w:after="0"/>
              <w:rPr>
                <w:sz w:val="1"/>
                <w:szCs w:val="1"/>
                <w:color w:val="auto"/>
              </w:rPr>
            </w:pPr>
          </w:p>
        </w:tc>
      </w:tr>
      <w:tr>
        <w:trPr>
          <w:trHeight w:val="72"/>
        </w:trPr>
        <w:tc>
          <w:tcPr>
            <w:tcW w:w="1320" w:type="dxa"/>
            <w:vAlign w:val="bottom"/>
          </w:tcPr>
          <w:p>
            <w:pPr>
              <w:spacing w:after="0"/>
              <w:rPr>
                <w:sz w:val="6"/>
                <w:szCs w:val="6"/>
                <w:color w:val="auto"/>
              </w:rPr>
            </w:pPr>
          </w:p>
        </w:tc>
        <w:tc>
          <w:tcPr>
            <w:tcW w:w="1420" w:type="dxa"/>
            <w:vAlign w:val="bottom"/>
          </w:tcPr>
          <w:p>
            <w:pPr>
              <w:jc w:val="right"/>
              <w:ind w:right="295"/>
              <w:spacing w:after="0" w:line="72" w:lineRule="exact"/>
              <w:rPr>
                <w:sz w:val="20"/>
                <w:szCs w:val="20"/>
                <w:color w:val="auto"/>
              </w:rPr>
            </w:pPr>
            <w:r>
              <w:rPr>
                <w:rFonts w:ascii="Arial" w:cs="Arial" w:eastAsia="Arial" w:hAnsi="Arial"/>
                <w:sz w:val="8"/>
                <w:szCs w:val="8"/>
                <w:b w:val="1"/>
                <w:bCs w:val="1"/>
                <w:color w:val="auto"/>
              </w:rPr>
              <w:t>Return</w:t>
            </w:r>
          </w:p>
        </w:tc>
        <w:tc>
          <w:tcPr>
            <w:tcW w:w="1080" w:type="dxa"/>
            <w:vAlign w:val="bottom"/>
          </w:tcPr>
          <w:p>
            <w:pPr>
              <w:jc w:val="right"/>
              <w:ind w:right="54"/>
              <w:spacing w:after="0" w:line="72" w:lineRule="exact"/>
              <w:rPr>
                <w:sz w:val="20"/>
                <w:szCs w:val="20"/>
                <w:color w:val="auto"/>
              </w:rPr>
            </w:pPr>
            <w:r>
              <w:rPr>
                <w:rFonts w:ascii="Arial" w:cs="Arial" w:eastAsia="Arial" w:hAnsi="Arial"/>
                <w:sz w:val="8"/>
                <w:szCs w:val="8"/>
                <w:b w:val="1"/>
                <w:bCs w:val="1"/>
                <w:color w:val="auto"/>
              </w:rPr>
              <w:t>Return</w:t>
            </w:r>
          </w:p>
        </w:tc>
        <w:tc>
          <w:tcPr>
            <w:tcW w:w="1360" w:type="dxa"/>
            <w:vAlign w:val="bottom"/>
            <w:vMerge w:val="continue"/>
          </w:tcPr>
          <w:p>
            <w:pPr>
              <w:spacing w:after="0"/>
              <w:rPr>
                <w:sz w:val="6"/>
                <w:szCs w:val="6"/>
                <w:color w:val="auto"/>
              </w:rPr>
            </w:pPr>
          </w:p>
        </w:tc>
        <w:tc>
          <w:tcPr>
            <w:tcW w:w="900" w:type="dxa"/>
            <w:vAlign w:val="bottom"/>
          </w:tcPr>
          <w:p>
            <w:pPr>
              <w:jc w:val="right"/>
              <w:ind w:right="55"/>
              <w:spacing w:after="0" w:line="72" w:lineRule="exact"/>
              <w:rPr>
                <w:sz w:val="20"/>
                <w:szCs w:val="20"/>
                <w:color w:val="auto"/>
              </w:rPr>
            </w:pPr>
            <w:r>
              <w:rPr>
                <w:rFonts w:ascii="Arial" w:cs="Arial" w:eastAsia="Arial" w:hAnsi="Arial"/>
                <w:sz w:val="8"/>
                <w:szCs w:val="8"/>
                <w:b w:val="1"/>
                <w:bCs w:val="1"/>
                <w:color w:val="auto"/>
              </w:rPr>
              <w:t>Millions)</w:t>
            </w:r>
          </w:p>
        </w:tc>
        <w:tc>
          <w:tcPr>
            <w:tcW w:w="0" w:type="dxa"/>
            <w:vAlign w:val="bottom"/>
          </w:tcPr>
          <w:p>
            <w:pPr>
              <w:spacing w:after="0"/>
              <w:rPr>
                <w:sz w:val="1"/>
                <w:szCs w:val="1"/>
                <w:color w:val="auto"/>
              </w:rPr>
            </w:pPr>
          </w:p>
        </w:tc>
      </w:tr>
      <w:tr>
        <w:trPr>
          <w:trHeight w:val="196"/>
        </w:trPr>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420" w:type="dxa"/>
            <w:vAlign w:val="bottom"/>
          </w:tcPr>
          <w:p>
            <w:pPr>
              <w:jc w:val="right"/>
              <w:ind w:right="175"/>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36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6"/>
        </w:trPr>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(e)</w:t>
            </w:r>
          </w:p>
        </w:tc>
        <w:tc>
          <w:tcPr>
            <w:tcW w:w="1420" w:type="dxa"/>
            <w:vAlign w:val="bottom"/>
          </w:tcPr>
          <w:p>
            <w:pPr>
              <w:jc w:val="right"/>
              <w:ind w:right="175"/>
              <w:spacing w:after="0"/>
              <w:rPr>
                <w:sz w:val="20"/>
                <w:szCs w:val="20"/>
                <w:color w:val="auto"/>
              </w:rPr>
            </w:pPr>
            <w:r>
              <w:rPr>
                <w:rFonts w:ascii="Arial" w:cs="Arial" w:eastAsia="Arial" w:hAnsi="Arial"/>
                <w:sz w:val="14"/>
                <w:szCs w:val="14"/>
                <w:b w:val="1"/>
                <w:bCs w:val="1"/>
                <w:color w:val="auto"/>
              </w:rPr>
              <w:t>(f)</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(g)</w:t>
            </w:r>
          </w:p>
        </w:tc>
        <w:tc>
          <w:tcPr>
            <w:tcW w:w="1360" w:type="dxa"/>
            <w:vAlign w:val="bottom"/>
          </w:tcPr>
          <w:p>
            <w:pPr>
              <w:jc w:val="right"/>
              <w:ind w:right="108"/>
              <w:spacing w:after="0"/>
              <w:rPr>
                <w:sz w:val="20"/>
                <w:szCs w:val="20"/>
                <w:color w:val="auto"/>
              </w:rPr>
            </w:pPr>
            <w:r>
              <w:rPr>
                <w:rFonts w:ascii="Arial" w:cs="Arial" w:eastAsia="Arial" w:hAnsi="Arial"/>
                <w:sz w:val="14"/>
                <w:szCs w:val="14"/>
                <w:b w:val="1"/>
                <w:bCs w:val="1"/>
                <w:color w:val="auto"/>
              </w:rPr>
              <w:t>(h)</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(i)</w:t>
            </w:r>
          </w:p>
        </w:tc>
        <w:tc>
          <w:tcPr>
            <w:tcW w:w="0" w:type="dxa"/>
            <w:vAlign w:val="bottom"/>
          </w:tcPr>
          <w:p>
            <w:pPr>
              <w:spacing w:after="0"/>
              <w:rPr>
                <w:sz w:val="1"/>
                <w:szCs w:val="1"/>
                <w:color w:val="auto"/>
              </w:rPr>
            </w:pPr>
          </w:p>
        </w:tc>
      </w:tr>
      <w:tr>
        <w:trPr>
          <w:trHeight w:val="318"/>
        </w:trPr>
        <w:tc>
          <w:tcPr>
            <w:tcW w:w="1320" w:type="dxa"/>
            <w:vAlign w:val="bottom"/>
          </w:tcPr>
          <w:p>
            <w:pPr>
              <w:jc w:val="right"/>
              <w:ind w:right="13"/>
              <w:spacing w:after="0"/>
              <w:rPr>
                <w:sz w:val="20"/>
                <w:szCs w:val="20"/>
                <w:color w:val="auto"/>
              </w:rPr>
            </w:pPr>
            <w:r>
              <w:rPr>
                <w:rFonts w:ascii="Arial" w:cs="Arial" w:eastAsia="Arial" w:hAnsi="Arial"/>
                <w:sz w:val="14"/>
                <w:szCs w:val="14"/>
                <w:color w:val="auto"/>
              </w:rPr>
              <w:t>463,982</w:t>
            </w:r>
          </w:p>
        </w:tc>
        <w:tc>
          <w:tcPr>
            <w:tcW w:w="1420" w:type="dxa"/>
            <w:vAlign w:val="bottom"/>
          </w:tcPr>
          <w:p>
            <w:pPr>
              <w:jc w:val="right"/>
              <w:ind w:right="235"/>
              <w:spacing w:after="0"/>
              <w:rPr>
                <w:sz w:val="20"/>
                <w:szCs w:val="20"/>
                <w:color w:val="auto"/>
              </w:rPr>
            </w:pPr>
            <w:r>
              <w:rPr>
                <w:rFonts w:ascii="Arial" w:cs="Arial" w:eastAsia="Arial" w:hAnsi="Arial"/>
                <w:sz w:val="14"/>
                <w:szCs w:val="14"/>
                <w:color w:val="auto"/>
              </w:rPr>
              <w:t>56.65</w:t>
            </w:r>
          </w:p>
        </w:tc>
        <w:tc>
          <w:tcPr>
            <w:tcW w:w="1080" w:type="dxa"/>
            <w:vAlign w:val="bottom"/>
          </w:tcPr>
          <w:p>
            <w:pPr>
              <w:jc w:val="right"/>
              <w:spacing w:after="0"/>
              <w:rPr>
                <w:sz w:val="20"/>
                <w:szCs w:val="20"/>
                <w:color w:val="auto"/>
              </w:rPr>
            </w:pPr>
            <w:r>
              <w:rPr>
                <w:rFonts w:ascii="Arial" w:cs="Arial" w:eastAsia="Arial" w:hAnsi="Arial"/>
                <w:sz w:val="14"/>
                <w:szCs w:val="14"/>
                <w:color w:val="auto"/>
              </w:rPr>
              <w:t>162.15</w:t>
            </w:r>
          </w:p>
        </w:tc>
        <w:tc>
          <w:tcPr>
            <w:tcW w:w="1360" w:type="dxa"/>
            <w:vAlign w:val="bottom"/>
          </w:tcPr>
          <w:p>
            <w:pPr>
              <w:jc w:val="right"/>
              <w:ind w:right="128"/>
              <w:spacing w:after="0"/>
              <w:rPr>
                <w:sz w:val="20"/>
                <w:szCs w:val="20"/>
                <w:color w:val="auto"/>
              </w:rPr>
            </w:pPr>
            <w:r>
              <w:rPr>
                <w:rFonts w:ascii="Arial" w:cs="Arial" w:eastAsia="Arial" w:hAnsi="Arial"/>
                <w:sz w:val="14"/>
                <w:szCs w:val="14"/>
                <w:color w:val="auto"/>
              </w:rPr>
              <w:t>(373.40)</w:t>
            </w:r>
          </w:p>
        </w:tc>
        <w:tc>
          <w:tcPr>
            <w:tcW w:w="900" w:type="dxa"/>
            <w:vAlign w:val="bottom"/>
          </w:tcPr>
          <w:p>
            <w:pPr>
              <w:jc w:val="right"/>
              <w:spacing w:after="0"/>
              <w:rPr>
                <w:sz w:val="20"/>
                <w:szCs w:val="20"/>
                <w:color w:val="auto"/>
              </w:rPr>
            </w:pPr>
            <w:r>
              <w:rPr>
                <w:rFonts w:ascii="Arial" w:cs="Arial" w:eastAsia="Arial" w:hAnsi="Arial"/>
                <w:sz w:val="14"/>
                <w:szCs w:val="14"/>
                <w:color w:val="auto"/>
              </w:rPr>
              <w:t>19.4</w:t>
            </w:r>
          </w:p>
        </w:tc>
        <w:tc>
          <w:tcPr>
            <w:tcW w:w="0" w:type="dxa"/>
            <w:vAlign w:val="bottom"/>
          </w:tcPr>
          <w:p>
            <w:pPr>
              <w:spacing w:after="0"/>
              <w:rPr>
                <w:sz w:val="1"/>
                <w:szCs w:val="1"/>
                <w:color w:val="auto"/>
              </w:rPr>
            </w:pPr>
          </w:p>
        </w:tc>
      </w:tr>
      <w:tr>
        <w:trPr>
          <w:trHeight w:val="230"/>
        </w:trPr>
        <w:tc>
          <w:tcPr>
            <w:tcW w:w="1320" w:type="dxa"/>
            <w:vAlign w:val="bottom"/>
          </w:tcPr>
          <w:p>
            <w:pPr>
              <w:jc w:val="right"/>
              <w:ind w:right="13"/>
              <w:spacing w:after="0"/>
              <w:rPr>
                <w:sz w:val="20"/>
                <w:szCs w:val="20"/>
                <w:color w:val="auto"/>
              </w:rPr>
            </w:pPr>
            <w:r>
              <w:rPr>
                <w:rFonts w:ascii="Arial" w:cs="Arial" w:eastAsia="Arial" w:hAnsi="Arial"/>
                <w:sz w:val="14"/>
                <w:szCs w:val="14"/>
                <w:color w:val="auto"/>
              </w:rPr>
              <w:t>618,648</w:t>
            </w:r>
          </w:p>
        </w:tc>
        <w:tc>
          <w:tcPr>
            <w:tcW w:w="1420" w:type="dxa"/>
            <w:vAlign w:val="bottom"/>
          </w:tcPr>
          <w:p>
            <w:pPr>
              <w:jc w:val="right"/>
              <w:ind w:right="235"/>
              <w:spacing w:after="0"/>
              <w:rPr>
                <w:sz w:val="20"/>
                <w:szCs w:val="20"/>
                <w:color w:val="auto"/>
              </w:rPr>
            </w:pPr>
            <w:r>
              <w:rPr>
                <w:rFonts w:ascii="Arial" w:cs="Arial" w:eastAsia="Arial" w:hAnsi="Arial"/>
                <w:sz w:val="14"/>
                <w:szCs w:val="14"/>
                <w:color w:val="auto"/>
              </w:rPr>
              <w:t>59.04</w:t>
            </w:r>
          </w:p>
        </w:tc>
        <w:tc>
          <w:tcPr>
            <w:tcW w:w="1080" w:type="dxa"/>
            <w:vAlign w:val="bottom"/>
          </w:tcPr>
          <w:p>
            <w:pPr>
              <w:jc w:val="right"/>
              <w:spacing w:after="0"/>
              <w:rPr>
                <w:sz w:val="20"/>
                <w:szCs w:val="20"/>
                <w:color w:val="auto"/>
              </w:rPr>
            </w:pPr>
            <w:r>
              <w:rPr>
                <w:rFonts w:ascii="Arial" w:cs="Arial" w:eastAsia="Arial" w:hAnsi="Arial"/>
                <w:sz w:val="14"/>
                <w:szCs w:val="14"/>
                <w:color w:val="auto"/>
              </w:rPr>
              <w:t>126.63</w:t>
            </w:r>
          </w:p>
        </w:tc>
        <w:tc>
          <w:tcPr>
            <w:tcW w:w="1360" w:type="dxa"/>
            <w:vAlign w:val="bottom"/>
          </w:tcPr>
          <w:p>
            <w:pPr>
              <w:jc w:val="right"/>
              <w:ind w:right="128"/>
              <w:spacing w:after="0"/>
              <w:rPr>
                <w:sz w:val="20"/>
                <w:szCs w:val="20"/>
                <w:color w:val="auto"/>
              </w:rPr>
            </w:pPr>
            <w:r>
              <w:rPr>
                <w:rFonts w:ascii="Arial" w:cs="Arial" w:eastAsia="Arial" w:hAnsi="Arial"/>
                <w:sz w:val="14"/>
                <w:szCs w:val="14"/>
                <w:color w:val="auto"/>
              </w:rPr>
              <w:t>(152.90)</w:t>
            </w:r>
          </w:p>
        </w:tc>
        <w:tc>
          <w:tcPr>
            <w:tcW w:w="900" w:type="dxa"/>
            <w:vAlign w:val="bottom"/>
          </w:tcPr>
          <w:p>
            <w:pPr>
              <w:jc w:val="right"/>
              <w:spacing w:after="0"/>
              <w:rPr>
                <w:sz w:val="20"/>
                <w:szCs w:val="20"/>
                <w:color w:val="auto"/>
              </w:rPr>
            </w:pPr>
            <w:r>
              <w:rPr>
                <w:rFonts w:ascii="Arial" w:cs="Arial" w:eastAsia="Arial" w:hAnsi="Arial"/>
                <w:sz w:val="14"/>
                <w:szCs w:val="14"/>
                <w:color w:val="auto"/>
              </w:rPr>
              <w:t>68.0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-3169285</wp:posOffset>
            </wp:positionH>
            <wp:positionV relativeFrom="paragraph">
              <wp:posOffset>-277495</wp:posOffset>
            </wp:positionV>
            <wp:extent cx="7132320" cy="1460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-3169285</wp:posOffset>
            </wp:positionH>
            <wp:positionV relativeFrom="paragraph">
              <wp:posOffset>13970</wp:posOffset>
            </wp:positionV>
            <wp:extent cx="713232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0" w:lineRule="exact"/>
        <w:rPr>
          <w:sz w:val="20"/>
          <w:szCs w:val="20"/>
          <w:color w:val="auto"/>
        </w:rPr>
      </w:pPr>
    </w:p>
    <w:p>
      <w:pPr>
        <w:sectPr>
          <w:pgSz w:w="11900" w:h="16838" w:orient="portrait"/>
          <w:cols w:equalWidth="0" w:num="2">
            <w:col w:w="4880" w:space="120"/>
            <w:col w:w="6240"/>
          </w:cols>
          <w:pgMar w:left="320" w:top="130" w:right="339" w:bottom="1440" w:gutter="0" w:footer="0" w:header="0"/>
          <w:type w:val="continuous"/>
        </w:sectPr>
      </w:pPr>
    </w:p>
    <w:p>
      <w:pPr>
        <w:ind w:left="340" w:hanging="332"/>
        <w:spacing w:after="0"/>
        <w:tabs>
          <w:tab w:leader="none" w:pos="3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NEOs included in these columns reflect the following individuals:</w:t>
      </w:r>
    </w:p>
    <w:p>
      <w:pPr>
        <w:spacing w:after="0" w:line="177" w:lineRule="exact"/>
        <w:rPr>
          <w:sz w:val="20"/>
          <w:szCs w:val="20"/>
          <w:color w:val="auto"/>
        </w:rPr>
      </w:pPr>
    </w:p>
    <w:tbl>
      <w:tblPr>
        <w:tblLayout w:type="fixed"/>
        <w:tblInd w:w="340" w:type="dxa"/>
        <w:tblCellMar>
          <w:top w:w="0" w:type="dxa"/>
          <w:left w:w="0" w:type="dxa"/>
          <w:bottom w:w="0" w:type="dxa"/>
          <w:right w:w="0" w:type="dxa"/>
        </w:tblCellMar>
      </w:tblPr>
      <w:tr>
        <w:trPr>
          <w:trHeight w:val="196"/>
        </w:trPr>
        <w:tc>
          <w:tcPr>
            <w:tcW w:w="1020" w:type="dxa"/>
            <w:vAlign w:val="bottom"/>
          </w:tcPr>
          <w:p>
            <w:pPr>
              <w:ind w:left="100"/>
              <w:spacing w:after="0"/>
              <w:rPr>
                <w:sz w:val="20"/>
                <w:szCs w:val="20"/>
                <w:color w:val="auto"/>
              </w:rPr>
            </w:pPr>
            <w:r>
              <w:rPr>
                <w:rFonts w:ascii="Arial" w:cs="Arial" w:eastAsia="Arial" w:hAnsi="Arial"/>
                <w:sz w:val="14"/>
                <w:szCs w:val="14"/>
                <w:b w:val="1"/>
                <w:bCs w:val="1"/>
                <w:color w:val="auto"/>
              </w:rPr>
              <w:t>Year</w:t>
            </w:r>
          </w:p>
        </w:tc>
        <w:tc>
          <w:tcPr>
            <w:tcW w:w="3100" w:type="dxa"/>
            <w:vAlign w:val="bottom"/>
          </w:tcPr>
          <w:p>
            <w:pPr>
              <w:ind w:left="620"/>
              <w:spacing w:after="0"/>
              <w:rPr>
                <w:sz w:val="20"/>
                <w:szCs w:val="20"/>
                <w:color w:val="auto"/>
              </w:rPr>
            </w:pPr>
            <w:r>
              <w:rPr>
                <w:rFonts w:ascii="Arial" w:cs="Arial" w:eastAsia="Arial" w:hAnsi="Arial"/>
                <w:sz w:val="14"/>
                <w:szCs w:val="14"/>
                <w:b w:val="1"/>
                <w:bCs w:val="1"/>
                <w:color w:val="auto"/>
              </w:rPr>
              <w:t>CEO</w:t>
            </w:r>
          </w:p>
        </w:tc>
        <w:tc>
          <w:tcPr>
            <w:tcW w:w="6380" w:type="dxa"/>
            <w:vAlign w:val="bottom"/>
          </w:tcPr>
          <w:p>
            <w:pPr>
              <w:ind w:left="1740"/>
              <w:spacing w:after="0"/>
              <w:rPr>
                <w:sz w:val="20"/>
                <w:szCs w:val="20"/>
                <w:color w:val="auto"/>
              </w:rPr>
            </w:pPr>
            <w:r>
              <w:rPr>
                <w:rFonts w:ascii="Arial" w:cs="Arial" w:eastAsia="Arial" w:hAnsi="Arial"/>
                <w:sz w:val="14"/>
                <w:szCs w:val="14"/>
                <w:b w:val="1"/>
                <w:bCs w:val="1"/>
                <w:color w:val="auto"/>
              </w:rPr>
              <w:t>Non-CEO NEOs</w:t>
            </w:r>
          </w:p>
        </w:tc>
      </w:tr>
      <w:tr>
        <w:trPr>
          <w:trHeight w:val="110"/>
        </w:trPr>
        <w:tc>
          <w:tcPr>
            <w:tcW w:w="10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6380" w:type="dxa"/>
            <w:vAlign w:val="bottom"/>
          </w:tcPr>
          <w:p>
            <w:pPr>
              <w:spacing w:after="0"/>
              <w:rPr>
                <w:sz w:val="9"/>
                <w:szCs w:val="9"/>
                <w:color w:val="auto"/>
              </w:rPr>
            </w:pPr>
          </w:p>
        </w:tc>
      </w:tr>
      <w:tr>
        <w:trPr>
          <w:trHeight w:val="230"/>
        </w:trPr>
        <w:tc>
          <w:tcPr>
            <w:tcW w:w="1020" w:type="dxa"/>
            <w:vAlign w:val="bottom"/>
            <w:shd w:val="clear" w:color="auto" w:fill="F1F2F2"/>
          </w:tcPr>
          <w:p>
            <w:pPr>
              <w:ind w:left="100"/>
              <w:spacing w:after="0"/>
              <w:rPr>
                <w:sz w:val="20"/>
                <w:szCs w:val="20"/>
                <w:color w:val="auto"/>
              </w:rPr>
            </w:pPr>
            <w:r>
              <w:rPr>
                <w:rFonts w:ascii="Arial" w:cs="Arial" w:eastAsia="Arial" w:hAnsi="Arial"/>
                <w:sz w:val="14"/>
                <w:szCs w:val="14"/>
                <w:b w:val="1"/>
                <w:bCs w:val="1"/>
                <w:color w:val="auto"/>
              </w:rPr>
              <w:t>2025</w:t>
            </w:r>
          </w:p>
        </w:tc>
        <w:tc>
          <w:tcPr>
            <w:tcW w:w="3100" w:type="dxa"/>
            <w:vAlign w:val="bottom"/>
            <w:shd w:val="clear" w:color="auto" w:fill="F1F2F2"/>
          </w:tcPr>
          <w:p>
            <w:pPr>
              <w:ind w:left="620"/>
              <w:spacing w:after="0"/>
              <w:rPr>
                <w:sz w:val="20"/>
                <w:szCs w:val="20"/>
                <w:color w:val="auto"/>
              </w:rPr>
            </w:pPr>
            <w:r>
              <w:rPr>
                <w:rFonts w:ascii="Arial" w:cs="Arial" w:eastAsia="Arial" w:hAnsi="Arial"/>
                <w:sz w:val="14"/>
                <w:szCs w:val="14"/>
                <w:color w:val="auto"/>
              </w:rPr>
              <w:t>Junkoo Kim</w:t>
            </w:r>
          </w:p>
        </w:tc>
        <w:tc>
          <w:tcPr>
            <w:tcW w:w="6380" w:type="dxa"/>
            <w:vAlign w:val="bottom"/>
            <w:shd w:val="clear" w:color="auto" w:fill="F1F2F2"/>
          </w:tcPr>
          <w:p>
            <w:pPr>
              <w:ind w:left="1740"/>
              <w:spacing w:after="0"/>
              <w:rPr>
                <w:sz w:val="20"/>
                <w:szCs w:val="20"/>
                <w:color w:val="auto"/>
              </w:rPr>
            </w:pPr>
            <w:r>
              <w:rPr>
                <w:rFonts w:ascii="Arial" w:cs="Arial" w:eastAsia="Arial" w:hAnsi="Arial"/>
                <w:sz w:val="14"/>
                <w:szCs w:val="14"/>
                <w:color w:val="auto"/>
              </w:rPr>
              <w:t>David J. Lee, Chankyu Park, Yongsoo Kim, Hyeeun Son</w:t>
            </w:r>
          </w:p>
        </w:tc>
      </w:tr>
      <w:tr>
        <w:trPr>
          <w:trHeight w:val="223"/>
        </w:trPr>
        <w:tc>
          <w:tcPr>
            <w:tcW w:w="10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2024</w:t>
            </w:r>
          </w:p>
        </w:tc>
        <w:tc>
          <w:tcPr>
            <w:tcW w:w="3100" w:type="dxa"/>
            <w:vAlign w:val="bottom"/>
            <w:tcBorders>
              <w:bottom w:val="single" w:sz="8" w:color="auto"/>
            </w:tcBorders>
          </w:tcPr>
          <w:p>
            <w:pPr>
              <w:ind w:left="620"/>
              <w:spacing w:after="0"/>
              <w:rPr>
                <w:sz w:val="20"/>
                <w:szCs w:val="20"/>
                <w:color w:val="auto"/>
              </w:rPr>
            </w:pPr>
            <w:r>
              <w:rPr>
                <w:rFonts w:ascii="Arial" w:cs="Arial" w:eastAsia="Arial" w:hAnsi="Arial"/>
                <w:sz w:val="14"/>
                <w:szCs w:val="14"/>
                <w:color w:val="auto"/>
              </w:rPr>
              <w:t>Junkoo Kim</w:t>
            </w:r>
          </w:p>
        </w:tc>
        <w:tc>
          <w:tcPr>
            <w:tcW w:w="6380" w:type="dxa"/>
            <w:vAlign w:val="bottom"/>
            <w:tcBorders>
              <w:bottom w:val="single" w:sz="8" w:color="auto"/>
            </w:tcBorders>
          </w:tcPr>
          <w:p>
            <w:pPr>
              <w:ind w:left="1740"/>
              <w:spacing w:after="0"/>
              <w:rPr>
                <w:sz w:val="20"/>
                <w:szCs w:val="20"/>
                <w:color w:val="auto"/>
              </w:rPr>
            </w:pPr>
            <w:r>
              <w:rPr>
                <w:rFonts w:ascii="Arial" w:cs="Arial" w:eastAsia="Arial" w:hAnsi="Arial"/>
                <w:sz w:val="14"/>
                <w:szCs w:val="14"/>
                <w:color w:val="auto"/>
              </w:rPr>
              <w:t>David J. Lee, Chankyu Park, Yongsoo Kim, Hyeeun Son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351155</wp:posOffset>
            </wp:positionV>
            <wp:extent cx="282575" cy="2743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82575"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280" w:type="dxa"/>
            <w:vAlign w:val="bottom"/>
          </w:tcPr>
          <w:p>
            <w:pPr>
              <w:ind w:left="20"/>
              <w:spacing w:after="0"/>
              <w:rPr>
                <w:sz w:val="20"/>
                <w:szCs w:val="20"/>
                <w:color w:val="auto"/>
              </w:rPr>
            </w:pPr>
            <w:r>
              <w:rPr>
                <w:rFonts w:ascii="Arial" w:cs="Arial" w:eastAsia="Arial" w:hAnsi="Arial"/>
                <w:sz w:val="14"/>
                <w:szCs w:val="14"/>
                <w:b w:val="1"/>
                <w:bCs w:val="1"/>
                <w:color w:val="auto"/>
              </w:rPr>
              <w:t>2026 Proxy Statement</w:t>
            </w:r>
          </w:p>
        </w:tc>
        <w:tc>
          <w:tcPr>
            <w:tcW w:w="4960" w:type="dxa"/>
            <w:vAlign w:val="bottom"/>
          </w:tcPr>
          <w:p>
            <w:pPr>
              <w:jc w:val="right"/>
              <w:spacing w:after="0"/>
              <w:rPr>
                <w:sz w:val="20"/>
                <w:szCs w:val="20"/>
                <w:color w:val="auto"/>
              </w:rPr>
            </w:pPr>
            <w:r>
              <w:rPr>
                <w:rFonts w:ascii="Arial" w:cs="Arial" w:eastAsia="Arial" w:hAnsi="Arial"/>
                <w:sz w:val="14"/>
                <w:szCs w:val="14"/>
                <w:b w:val="1"/>
                <w:bCs w:val="1"/>
                <w:color w:val="auto"/>
              </w:rPr>
              <w:t>41</w:t>
            </w:r>
          </w:p>
        </w:tc>
      </w:tr>
      <w:tr>
        <w:trPr>
          <w:trHeight w:val="360"/>
        </w:trPr>
        <w:tc>
          <w:tcPr>
            <w:tcW w:w="6280" w:type="dxa"/>
            <w:vAlign w:val="bottom"/>
            <w:tcBorders>
              <w:bottom w:val="single" w:sz="8" w:color="9A9A9A"/>
            </w:tcBorders>
          </w:tcPr>
          <w:p>
            <w:pPr>
              <w:spacing w:after="0"/>
              <w:rPr>
                <w:sz w:val="24"/>
                <w:szCs w:val="24"/>
                <w:color w:val="auto"/>
              </w:rPr>
            </w:pPr>
          </w:p>
        </w:tc>
        <w:tc>
          <w:tcPr>
            <w:tcW w:w="4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45" w:name="page46"/>
    <w:bookmarkEnd w:id="45"/>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Deductions from, and additions to, total compensation in the Summary Compensation Table by year to calculate Compensation Actually Paid consist of:</w:t>
      </w:r>
    </w:p>
    <w:p>
      <w:pPr>
        <w:spacing w:after="0" w:line="123" w:lineRule="exact"/>
        <w:rPr>
          <w:sz w:val="20"/>
          <w:szCs w:val="20"/>
          <w:color w:val="auto"/>
        </w:rPr>
      </w:pPr>
    </w:p>
    <w:tbl>
      <w:tblPr>
        <w:tblLayout w:type="fixed"/>
        <w:tblInd w:w="340" w:type="dxa"/>
        <w:tblCellMar>
          <w:top w:w="0" w:type="dxa"/>
          <w:left w:w="0" w:type="dxa"/>
          <w:bottom w:w="0" w:type="dxa"/>
          <w:right w:w="0" w:type="dxa"/>
        </w:tblCellMar>
      </w:tblPr>
      <w:tr>
        <w:trPr>
          <w:trHeight w:val="205"/>
        </w:trPr>
        <w:tc>
          <w:tcPr>
            <w:tcW w:w="7540" w:type="dxa"/>
            <w:vAlign w:val="bottom"/>
          </w:tcPr>
          <w:p>
            <w:pPr>
              <w:spacing w:after="0"/>
              <w:rPr>
                <w:sz w:val="17"/>
                <w:szCs w:val="17"/>
                <w:color w:val="auto"/>
              </w:rPr>
            </w:pPr>
          </w:p>
        </w:tc>
        <w:tc>
          <w:tcPr>
            <w:tcW w:w="2960" w:type="dxa"/>
            <w:vAlign w:val="bottom"/>
            <w:tcBorders>
              <w:bottom w:val="single" w:sz="8" w:color="auto"/>
            </w:tcBorders>
            <w:gridSpan w:val="3"/>
          </w:tcPr>
          <w:p>
            <w:pPr>
              <w:jc w:val="right"/>
              <w:ind w:right="1248"/>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193"/>
        </w:trPr>
        <w:tc>
          <w:tcPr>
            <w:tcW w:w="7540" w:type="dxa"/>
            <w:vAlign w:val="bottom"/>
          </w:tcPr>
          <w:p>
            <w:pPr>
              <w:spacing w:after="0"/>
              <w:rPr>
                <w:sz w:val="16"/>
                <w:szCs w:val="16"/>
                <w:color w:val="auto"/>
              </w:rPr>
            </w:pPr>
          </w:p>
        </w:tc>
        <w:tc>
          <w:tcPr>
            <w:tcW w:w="148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CEO</w:t>
            </w:r>
          </w:p>
        </w:tc>
        <w:tc>
          <w:tcPr>
            <w:tcW w:w="1480" w:type="dxa"/>
            <w:vAlign w:val="bottom"/>
          </w:tcPr>
          <w:p>
            <w:pPr>
              <w:jc w:val="right"/>
              <w:ind w:right="68"/>
              <w:spacing w:after="0"/>
              <w:rPr>
                <w:sz w:val="20"/>
                <w:szCs w:val="20"/>
                <w:color w:val="auto"/>
              </w:rPr>
            </w:pPr>
            <w:r>
              <w:rPr>
                <w:rFonts w:ascii="Arial" w:cs="Arial" w:eastAsia="Arial" w:hAnsi="Arial"/>
                <w:sz w:val="14"/>
                <w:szCs w:val="14"/>
                <w:b w:val="1"/>
                <w:bCs w:val="1"/>
                <w:color w:val="auto"/>
              </w:rPr>
              <w:t>Average Non-CEO</w:t>
            </w:r>
          </w:p>
        </w:tc>
        <w:tc>
          <w:tcPr>
            <w:tcW w:w="0" w:type="dxa"/>
            <w:vAlign w:val="bottom"/>
          </w:tcPr>
          <w:p>
            <w:pPr>
              <w:spacing w:after="0"/>
              <w:rPr>
                <w:sz w:val="1"/>
                <w:szCs w:val="1"/>
                <w:color w:val="auto"/>
              </w:rPr>
            </w:pPr>
          </w:p>
        </w:tc>
      </w:tr>
      <w:tr>
        <w:trPr>
          <w:trHeight w:val="162"/>
        </w:trPr>
        <w:tc>
          <w:tcPr>
            <w:tcW w:w="754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1480" w:type="dxa"/>
            <w:vAlign w:val="bottom"/>
          </w:tcPr>
          <w:p>
            <w:pPr>
              <w:jc w:val="right"/>
              <w:ind w:right="68"/>
              <w:spacing w:after="0"/>
              <w:rPr>
                <w:sz w:val="20"/>
                <w:szCs w:val="20"/>
                <w:color w:val="auto"/>
              </w:rPr>
            </w:pPr>
            <w:r>
              <w:rPr>
                <w:rFonts w:ascii="Arial" w:cs="Arial" w:eastAsia="Arial" w:hAnsi="Arial"/>
                <w:sz w:val="14"/>
                <w:szCs w:val="14"/>
                <w:b w:val="1"/>
                <w:bCs w:val="1"/>
                <w:color w:val="auto"/>
              </w:rPr>
              <w:t>NEOs</w:t>
            </w:r>
          </w:p>
        </w:tc>
        <w:tc>
          <w:tcPr>
            <w:tcW w:w="0" w:type="dxa"/>
            <w:vAlign w:val="bottom"/>
          </w:tcPr>
          <w:p>
            <w:pPr>
              <w:spacing w:after="0"/>
              <w:rPr>
                <w:sz w:val="1"/>
                <w:szCs w:val="1"/>
                <w:color w:val="auto"/>
              </w:rPr>
            </w:pPr>
          </w:p>
        </w:tc>
      </w:tr>
      <w:tr>
        <w:trPr>
          <w:trHeight w:val="196"/>
        </w:trPr>
        <w:tc>
          <w:tcPr>
            <w:tcW w:w="75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c>
          <w:tcPr>
            <w:tcW w:w="148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10"/>
        </w:trPr>
        <w:tc>
          <w:tcPr>
            <w:tcW w:w="75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7540" w:type="dxa"/>
            <w:vAlign w:val="bottom"/>
            <w:shd w:val="clear" w:color="auto" w:fill="F1F2F2"/>
          </w:tcPr>
          <w:p>
            <w:pPr>
              <w:ind w:left="100"/>
              <w:spacing w:after="0"/>
              <w:rPr>
                <w:sz w:val="20"/>
                <w:szCs w:val="20"/>
                <w:color w:val="auto"/>
              </w:rPr>
            </w:pPr>
            <w:r>
              <w:rPr>
                <w:rFonts w:ascii="Arial" w:cs="Arial" w:eastAsia="Arial" w:hAnsi="Arial"/>
                <w:sz w:val="14"/>
                <w:szCs w:val="14"/>
                <w:b w:val="1"/>
                <w:bCs w:val="1"/>
                <w:color w:val="auto"/>
              </w:rPr>
              <w:t>Total Compensation from Summary Compensation Table</w:t>
            </w:r>
          </w:p>
        </w:tc>
        <w:tc>
          <w:tcPr>
            <w:tcW w:w="1340" w:type="dxa"/>
            <w:vAlign w:val="bottom"/>
            <w:shd w:val="clear" w:color="auto" w:fill="F1F2F2"/>
          </w:tcPr>
          <w:p>
            <w:pPr>
              <w:jc w:val="right"/>
              <w:spacing w:after="0"/>
              <w:rPr>
                <w:sz w:val="20"/>
                <w:szCs w:val="20"/>
                <w:color w:val="auto"/>
              </w:rPr>
            </w:pPr>
            <w:r>
              <w:rPr>
                <w:rFonts w:ascii="Arial" w:cs="Arial" w:eastAsia="Arial" w:hAnsi="Arial"/>
                <w:sz w:val="14"/>
                <w:szCs w:val="14"/>
                <w:b w:val="1"/>
                <w:bCs w:val="1"/>
                <w:color w:val="auto"/>
              </w:rPr>
              <w:t>935,582</w:t>
            </w:r>
          </w:p>
        </w:tc>
        <w:tc>
          <w:tcPr>
            <w:tcW w:w="140" w:type="dxa"/>
            <w:vAlign w:val="bottom"/>
            <w:shd w:val="clear" w:color="auto" w:fill="F1F2F2"/>
          </w:tcPr>
          <w:p>
            <w:pPr>
              <w:spacing w:after="0"/>
              <w:rPr>
                <w:sz w:val="19"/>
                <w:szCs w:val="19"/>
                <w:color w:val="auto"/>
              </w:rPr>
            </w:pPr>
          </w:p>
        </w:tc>
        <w:tc>
          <w:tcPr>
            <w:tcW w:w="1480" w:type="dxa"/>
            <w:vAlign w:val="bottom"/>
            <w:shd w:val="clear" w:color="auto" w:fill="F1F2F2"/>
          </w:tcPr>
          <w:p>
            <w:pPr>
              <w:jc w:val="right"/>
              <w:ind w:right="128"/>
              <w:spacing w:after="0"/>
              <w:rPr>
                <w:sz w:val="20"/>
                <w:szCs w:val="20"/>
                <w:color w:val="auto"/>
              </w:rPr>
            </w:pPr>
            <w:r>
              <w:rPr>
                <w:rFonts w:ascii="Arial" w:cs="Arial" w:eastAsia="Arial" w:hAnsi="Arial"/>
                <w:sz w:val="14"/>
                <w:szCs w:val="14"/>
                <w:b w:val="1"/>
                <w:bCs w:val="1"/>
                <w:color w:val="auto"/>
              </w:rPr>
              <w:t>599,792</w:t>
            </w:r>
          </w:p>
        </w:tc>
        <w:tc>
          <w:tcPr>
            <w:tcW w:w="0" w:type="dxa"/>
            <w:vAlign w:val="bottom"/>
          </w:tcPr>
          <w:p>
            <w:pPr>
              <w:spacing w:after="0"/>
              <w:rPr>
                <w:sz w:val="1"/>
                <w:szCs w:val="1"/>
                <w:color w:val="auto"/>
              </w:rPr>
            </w:pPr>
          </w:p>
        </w:tc>
      </w:tr>
      <w:tr>
        <w:trPr>
          <w:trHeight w:val="229"/>
        </w:trPr>
        <w:tc>
          <w:tcPr>
            <w:tcW w:w="7540" w:type="dxa"/>
            <w:vAlign w:val="bottom"/>
          </w:tcPr>
          <w:p>
            <w:pPr>
              <w:ind w:left="100"/>
              <w:spacing w:after="0"/>
              <w:rPr>
                <w:sz w:val="20"/>
                <w:szCs w:val="20"/>
                <w:color w:val="auto"/>
              </w:rPr>
            </w:pPr>
            <w:r>
              <w:rPr>
                <w:rFonts w:ascii="Arial" w:cs="Arial" w:eastAsia="Arial" w:hAnsi="Arial"/>
                <w:sz w:val="14"/>
                <w:szCs w:val="14"/>
                <w:b w:val="1"/>
                <w:bCs w:val="1"/>
                <w:color w:val="auto"/>
              </w:rPr>
              <w:t>Adjustments for Equity Awards</w:t>
            </w:r>
            <w:r>
              <w:rPr>
                <w:rFonts w:ascii="Arial" w:cs="Arial" w:eastAsia="Arial" w:hAnsi="Arial"/>
                <w:sz w:val="18"/>
                <w:szCs w:val="18"/>
                <w:b w:val="1"/>
                <w:bCs w:val="1"/>
                <w:color w:val="auto"/>
                <w:vertAlign w:val="superscript"/>
              </w:rPr>
              <w:t>(a)</w:t>
            </w:r>
          </w:p>
        </w:tc>
        <w:tc>
          <w:tcPr>
            <w:tcW w:w="1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540" w:type="dxa"/>
            <w:vAlign w:val="bottom"/>
            <w:tcBorders>
              <w:bottom w:val="single" w:sz="8" w:color="F1F2F2"/>
            </w:tcBorders>
            <w:shd w:val="clear" w:color="auto" w:fill="F1F2F2"/>
          </w:tcPr>
          <w:p>
            <w:pPr>
              <w:ind w:left="100"/>
              <w:spacing w:after="0"/>
              <w:rPr>
                <w:sz w:val="20"/>
                <w:szCs w:val="20"/>
                <w:color w:val="auto"/>
              </w:rPr>
            </w:pPr>
            <w:r>
              <w:rPr>
                <w:rFonts w:ascii="Arial" w:cs="Arial" w:eastAsia="Arial" w:hAnsi="Arial"/>
                <w:sz w:val="14"/>
                <w:szCs w:val="14"/>
                <w:color w:val="auto"/>
              </w:rPr>
              <w:t>Adjustment for grant date values in the Summary Compensation Table</w:t>
            </w:r>
          </w:p>
        </w:tc>
        <w:tc>
          <w:tcPr>
            <w:tcW w:w="1480" w:type="dxa"/>
            <w:vAlign w:val="bottom"/>
            <w:tcBorders>
              <w:bottom w:val="single" w:sz="8" w:color="F1F2F2"/>
            </w:tcBorders>
            <w:gridSpan w:val="2"/>
            <w:shd w:val="clear" w:color="auto" w:fill="F1F2F2"/>
          </w:tcPr>
          <w:p>
            <w:pPr>
              <w:jc w:val="right"/>
              <w:ind w:right="200"/>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F1F2F2"/>
            </w:tcBorders>
            <w:shd w:val="clear" w:color="auto" w:fill="F1F2F2"/>
          </w:tcPr>
          <w:p>
            <w:pPr>
              <w:jc w:val="right"/>
              <w:ind w:right="88"/>
              <w:spacing w:after="0"/>
              <w:rPr>
                <w:sz w:val="20"/>
                <w:szCs w:val="20"/>
                <w:color w:val="auto"/>
              </w:rPr>
            </w:pPr>
            <w:r>
              <w:rPr>
                <w:rFonts w:ascii="Arial" w:cs="Arial" w:eastAsia="Arial" w:hAnsi="Arial"/>
                <w:sz w:val="14"/>
                <w:szCs w:val="14"/>
                <w:color w:val="auto"/>
              </w:rPr>
              <w:t>(154,882)</w:t>
            </w:r>
          </w:p>
        </w:tc>
        <w:tc>
          <w:tcPr>
            <w:tcW w:w="0" w:type="dxa"/>
            <w:vAlign w:val="bottom"/>
          </w:tcPr>
          <w:p>
            <w:pPr>
              <w:spacing w:after="0"/>
              <w:rPr>
                <w:sz w:val="1"/>
                <w:szCs w:val="1"/>
                <w:color w:val="auto"/>
              </w:rPr>
            </w:pPr>
          </w:p>
        </w:tc>
      </w:tr>
      <w:tr>
        <w:trPr>
          <w:trHeight w:val="208"/>
        </w:trPr>
        <w:tc>
          <w:tcPr>
            <w:tcW w:w="7540" w:type="dxa"/>
            <w:vAlign w:val="bottom"/>
          </w:tcPr>
          <w:p>
            <w:pPr>
              <w:ind w:left="100"/>
              <w:spacing w:after="0"/>
              <w:rPr>
                <w:sz w:val="20"/>
                <w:szCs w:val="20"/>
                <w:color w:val="auto"/>
              </w:rPr>
            </w:pPr>
            <w:r>
              <w:rPr>
                <w:rFonts w:ascii="Arial" w:cs="Arial" w:eastAsia="Arial" w:hAnsi="Arial"/>
                <w:sz w:val="14"/>
                <w:szCs w:val="14"/>
                <w:color w:val="auto"/>
              </w:rPr>
              <w:t>Year-end fair value of unvested awards granted in the current year</w:t>
            </w:r>
          </w:p>
        </w:tc>
        <w:tc>
          <w:tcPr>
            <w:tcW w:w="14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128"/>
              <w:spacing w:after="0"/>
              <w:rPr>
                <w:sz w:val="20"/>
                <w:szCs w:val="20"/>
                <w:color w:val="auto"/>
              </w:rPr>
            </w:pPr>
            <w:r>
              <w:rPr>
                <w:rFonts w:ascii="Arial" w:cs="Arial" w:eastAsia="Arial" w:hAnsi="Arial"/>
                <w:sz w:val="14"/>
                <w:szCs w:val="14"/>
                <w:color w:val="auto"/>
              </w:rPr>
              <w:t>156,041</w:t>
            </w:r>
          </w:p>
        </w:tc>
        <w:tc>
          <w:tcPr>
            <w:tcW w:w="0" w:type="dxa"/>
            <w:vAlign w:val="bottom"/>
          </w:tcPr>
          <w:p>
            <w:pPr>
              <w:spacing w:after="0"/>
              <w:rPr>
                <w:sz w:val="1"/>
                <w:szCs w:val="1"/>
                <w:color w:val="auto"/>
              </w:rPr>
            </w:pPr>
          </w:p>
        </w:tc>
      </w:tr>
      <w:tr>
        <w:trPr>
          <w:trHeight w:val="22"/>
        </w:trPr>
        <w:tc>
          <w:tcPr>
            <w:tcW w:w="75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40" w:type="dxa"/>
            <w:vAlign w:val="bottom"/>
            <w:tcBorders>
              <w:bottom w:val="single" w:sz="8" w:color="F1F2F2"/>
            </w:tcBorders>
            <w:shd w:val="clear" w:color="auto" w:fill="F1F2F2"/>
          </w:tcPr>
          <w:p>
            <w:pPr>
              <w:ind w:left="100"/>
              <w:spacing w:after="0"/>
              <w:rPr>
                <w:sz w:val="20"/>
                <w:szCs w:val="20"/>
                <w:color w:val="auto"/>
              </w:rPr>
            </w:pPr>
            <w:r>
              <w:rPr>
                <w:rFonts w:ascii="Arial" w:cs="Arial" w:eastAsia="Arial" w:hAnsi="Arial"/>
                <w:sz w:val="14"/>
                <w:szCs w:val="14"/>
                <w:color w:val="auto"/>
              </w:rPr>
              <w:t>Year-over-year difference of year-end fair values for unvested awards granted in prior years</w:t>
            </w:r>
          </w:p>
        </w:tc>
        <w:tc>
          <w:tcPr>
            <w:tcW w:w="1480" w:type="dxa"/>
            <w:vAlign w:val="bottom"/>
            <w:tcBorders>
              <w:bottom w:val="single" w:sz="8" w:color="F1F2F2"/>
            </w:tcBorders>
            <w:gridSpan w:val="2"/>
            <w:shd w:val="clear" w:color="auto" w:fill="F1F2F2"/>
          </w:tcPr>
          <w:p>
            <w:pPr>
              <w:jc w:val="right"/>
              <w:ind w:right="200"/>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F1F2F2"/>
            </w:tcBorders>
            <w:shd w:val="clear" w:color="auto" w:fill="F1F2F2"/>
          </w:tcPr>
          <w:p>
            <w:pPr>
              <w:jc w:val="right"/>
              <w:ind w:right="88"/>
              <w:spacing w:after="0"/>
              <w:rPr>
                <w:sz w:val="20"/>
                <w:szCs w:val="20"/>
                <w:color w:val="auto"/>
              </w:rPr>
            </w:pPr>
            <w:r>
              <w:rPr>
                <w:rFonts w:ascii="Arial" w:cs="Arial" w:eastAsia="Arial" w:hAnsi="Arial"/>
                <w:sz w:val="14"/>
                <w:szCs w:val="14"/>
                <w:color w:val="auto"/>
              </w:rPr>
              <w:t>(50,228)</w:t>
            </w:r>
          </w:p>
        </w:tc>
        <w:tc>
          <w:tcPr>
            <w:tcW w:w="0" w:type="dxa"/>
            <w:vAlign w:val="bottom"/>
          </w:tcPr>
          <w:p>
            <w:pPr>
              <w:spacing w:after="0"/>
              <w:rPr>
                <w:sz w:val="1"/>
                <w:szCs w:val="1"/>
                <w:color w:val="auto"/>
              </w:rPr>
            </w:pPr>
          </w:p>
        </w:tc>
      </w:tr>
      <w:tr>
        <w:trPr>
          <w:trHeight w:val="208"/>
        </w:trPr>
        <w:tc>
          <w:tcPr>
            <w:tcW w:w="7540" w:type="dxa"/>
            <w:vAlign w:val="bottom"/>
          </w:tcPr>
          <w:p>
            <w:pPr>
              <w:ind w:left="100"/>
              <w:spacing w:after="0"/>
              <w:rPr>
                <w:sz w:val="20"/>
                <w:szCs w:val="20"/>
                <w:color w:val="auto"/>
              </w:rPr>
            </w:pPr>
            <w:r>
              <w:rPr>
                <w:rFonts w:ascii="Arial" w:cs="Arial" w:eastAsia="Arial" w:hAnsi="Arial"/>
                <w:sz w:val="14"/>
                <w:szCs w:val="14"/>
                <w:color w:val="auto"/>
              </w:rPr>
              <w:t>Fair values at vest date for awards granted and vested in current year</w:t>
            </w:r>
          </w:p>
        </w:tc>
        <w:tc>
          <w:tcPr>
            <w:tcW w:w="14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128"/>
              <w:spacing w:after="0"/>
              <w:rPr>
                <w:sz w:val="20"/>
                <w:szCs w:val="20"/>
                <w:color w:val="auto"/>
              </w:rPr>
            </w:pPr>
            <w:r>
              <w:rPr>
                <w:rFonts w:ascii="Arial" w:cs="Arial" w:eastAsia="Arial" w:hAnsi="Arial"/>
                <w:sz w:val="14"/>
                <w:szCs w:val="14"/>
                <w:color w:val="auto"/>
              </w:rPr>
              <w:t>43,474</w:t>
            </w:r>
          </w:p>
        </w:tc>
        <w:tc>
          <w:tcPr>
            <w:tcW w:w="0" w:type="dxa"/>
            <w:vAlign w:val="bottom"/>
          </w:tcPr>
          <w:p>
            <w:pPr>
              <w:spacing w:after="0"/>
              <w:rPr>
                <w:sz w:val="1"/>
                <w:szCs w:val="1"/>
                <w:color w:val="auto"/>
              </w:rPr>
            </w:pPr>
          </w:p>
        </w:tc>
      </w:tr>
      <w:tr>
        <w:trPr>
          <w:trHeight w:val="22"/>
        </w:trPr>
        <w:tc>
          <w:tcPr>
            <w:tcW w:w="75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540" w:type="dxa"/>
            <w:vAlign w:val="bottom"/>
            <w:tcBorders>
              <w:bottom w:val="single" w:sz="8" w:color="F1F2F2"/>
            </w:tcBorders>
            <w:shd w:val="clear" w:color="auto" w:fill="F1F2F2"/>
          </w:tcPr>
          <w:p>
            <w:pPr>
              <w:ind w:left="100"/>
              <w:spacing w:after="0"/>
              <w:rPr>
                <w:sz w:val="20"/>
                <w:szCs w:val="20"/>
                <w:color w:val="auto"/>
              </w:rPr>
            </w:pPr>
            <w:r>
              <w:rPr>
                <w:rFonts w:ascii="Arial" w:cs="Arial" w:eastAsia="Arial" w:hAnsi="Arial"/>
                <w:sz w:val="14"/>
                <w:szCs w:val="14"/>
                <w:color w:val="auto"/>
              </w:rPr>
              <w:t>Difference in fair values between prior year-end fair values and vest date fair values for awards granted in prior years</w:t>
            </w:r>
          </w:p>
        </w:tc>
        <w:tc>
          <w:tcPr>
            <w:tcW w:w="1480" w:type="dxa"/>
            <w:vAlign w:val="bottom"/>
            <w:tcBorders>
              <w:bottom w:val="single" w:sz="8" w:color="F1F2F2"/>
            </w:tcBorders>
            <w:gridSpan w:val="2"/>
            <w:shd w:val="clear" w:color="auto" w:fill="F1F2F2"/>
          </w:tcPr>
          <w:p>
            <w:pPr>
              <w:jc w:val="right"/>
              <w:ind w:right="200"/>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F1F2F2"/>
            </w:tcBorders>
            <w:shd w:val="clear" w:color="auto" w:fill="F1F2F2"/>
          </w:tcPr>
          <w:p>
            <w:pPr>
              <w:jc w:val="right"/>
              <w:ind w:right="88"/>
              <w:spacing w:after="0"/>
              <w:rPr>
                <w:sz w:val="20"/>
                <w:szCs w:val="20"/>
                <w:color w:val="auto"/>
              </w:rPr>
            </w:pPr>
            <w:r>
              <w:rPr>
                <w:rFonts w:ascii="Arial" w:cs="Arial" w:eastAsia="Arial" w:hAnsi="Arial"/>
                <w:sz w:val="14"/>
                <w:szCs w:val="14"/>
                <w:color w:val="auto"/>
              </w:rPr>
              <w:t>(130,215)</w:t>
            </w:r>
          </w:p>
        </w:tc>
        <w:tc>
          <w:tcPr>
            <w:tcW w:w="0" w:type="dxa"/>
            <w:vAlign w:val="bottom"/>
          </w:tcPr>
          <w:p>
            <w:pPr>
              <w:spacing w:after="0"/>
              <w:rPr>
                <w:sz w:val="1"/>
                <w:szCs w:val="1"/>
                <w:color w:val="auto"/>
              </w:rPr>
            </w:pPr>
          </w:p>
        </w:tc>
      </w:tr>
      <w:tr>
        <w:trPr>
          <w:trHeight w:val="208"/>
        </w:trPr>
        <w:tc>
          <w:tcPr>
            <w:tcW w:w="7540" w:type="dxa"/>
            <w:vAlign w:val="bottom"/>
          </w:tcPr>
          <w:p>
            <w:pPr>
              <w:ind w:left="100"/>
              <w:spacing w:after="0"/>
              <w:rPr>
                <w:sz w:val="20"/>
                <w:szCs w:val="20"/>
                <w:color w:val="auto"/>
              </w:rPr>
            </w:pPr>
            <w:r>
              <w:rPr>
                <w:rFonts w:ascii="Arial" w:cs="Arial" w:eastAsia="Arial" w:hAnsi="Arial"/>
                <w:sz w:val="14"/>
                <w:szCs w:val="14"/>
                <w:color w:val="auto"/>
              </w:rPr>
              <w:t>Forfeitures during current year equal to prior year-end fair value</w:t>
            </w:r>
          </w:p>
        </w:tc>
        <w:tc>
          <w:tcPr>
            <w:tcW w:w="14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75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7540" w:type="dxa"/>
            <w:vAlign w:val="bottom"/>
            <w:tcBorders>
              <w:bottom w:val="single" w:sz="8" w:color="F1F2F2"/>
            </w:tcBorders>
            <w:shd w:val="clear" w:color="auto" w:fill="F1F2F2"/>
          </w:tcPr>
          <w:p>
            <w:pPr>
              <w:ind w:left="100"/>
              <w:spacing w:after="0"/>
              <w:rPr>
                <w:sz w:val="20"/>
                <w:szCs w:val="20"/>
                <w:color w:val="auto"/>
              </w:rPr>
            </w:pPr>
            <w:r>
              <w:rPr>
                <w:rFonts w:ascii="Arial" w:cs="Arial" w:eastAsia="Arial" w:hAnsi="Arial"/>
                <w:sz w:val="14"/>
                <w:szCs w:val="14"/>
                <w:color w:val="auto"/>
              </w:rPr>
              <w:t>Dividends or dividend equivalents not otherwise included in the total compensation</w:t>
            </w:r>
          </w:p>
        </w:tc>
        <w:tc>
          <w:tcPr>
            <w:tcW w:w="1480" w:type="dxa"/>
            <w:vAlign w:val="bottom"/>
            <w:tcBorders>
              <w:bottom w:val="single" w:sz="8" w:color="F1F2F2"/>
            </w:tcBorders>
            <w:gridSpan w:val="2"/>
            <w:shd w:val="clear" w:color="auto" w:fill="F1F2F2"/>
          </w:tcPr>
          <w:p>
            <w:pPr>
              <w:jc w:val="right"/>
              <w:ind w:right="200"/>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F1F2F2"/>
            </w:tcBorders>
            <w:shd w:val="clear" w:color="auto" w:fill="F1F2F2"/>
          </w:tcPr>
          <w:p>
            <w:pPr>
              <w:jc w:val="right"/>
              <w:ind w:right="1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5"/>
        </w:trPr>
        <w:tc>
          <w:tcPr>
            <w:tcW w:w="7540" w:type="dxa"/>
            <w:vAlign w:val="bottom"/>
          </w:tcPr>
          <w:p>
            <w:pPr>
              <w:ind w:left="100"/>
              <w:spacing w:after="0"/>
              <w:rPr>
                <w:sz w:val="20"/>
                <w:szCs w:val="20"/>
                <w:color w:val="auto"/>
              </w:rPr>
            </w:pPr>
            <w:r>
              <w:rPr>
                <w:rFonts w:ascii="Arial" w:cs="Arial" w:eastAsia="Arial" w:hAnsi="Arial"/>
                <w:sz w:val="14"/>
                <w:szCs w:val="14"/>
                <w:b w:val="1"/>
                <w:bCs w:val="1"/>
                <w:color w:val="auto"/>
              </w:rPr>
              <w:t>Total Adjustments for Equity Awards</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8"/>
                <w:szCs w:val="18"/>
                <w:color w:val="auto"/>
              </w:rPr>
            </w:pPr>
          </w:p>
        </w:tc>
        <w:tc>
          <w:tcPr>
            <w:tcW w:w="148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(135,810)</w:t>
            </w:r>
          </w:p>
        </w:tc>
        <w:tc>
          <w:tcPr>
            <w:tcW w:w="0" w:type="dxa"/>
            <w:vAlign w:val="bottom"/>
          </w:tcPr>
          <w:p>
            <w:pPr>
              <w:spacing w:after="0"/>
              <w:rPr>
                <w:sz w:val="1"/>
                <w:szCs w:val="1"/>
                <w:color w:val="auto"/>
              </w:rPr>
            </w:pPr>
          </w:p>
        </w:tc>
      </w:tr>
      <w:tr>
        <w:trPr>
          <w:trHeight w:val="231"/>
        </w:trPr>
        <w:tc>
          <w:tcPr>
            <w:tcW w:w="7540" w:type="dxa"/>
            <w:vAlign w:val="bottom"/>
            <w:tcBorders>
              <w:bottom w:val="single" w:sz="8" w:color="auto"/>
            </w:tcBorders>
            <w:shd w:val="clear" w:color="auto" w:fill="F1F2F2"/>
          </w:tcPr>
          <w:p>
            <w:pPr>
              <w:ind w:left="100"/>
              <w:spacing w:after="0"/>
              <w:rPr>
                <w:sz w:val="20"/>
                <w:szCs w:val="20"/>
                <w:color w:val="auto"/>
              </w:rPr>
            </w:pPr>
            <w:r>
              <w:rPr>
                <w:rFonts w:ascii="Arial" w:cs="Arial" w:eastAsia="Arial" w:hAnsi="Arial"/>
                <w:sz w:val="14"/>
                <w:szCs w:val="14"/>
                <w:b w:val="1"/>
                <w:bCs w:val="1"/>
                <w:color w:val="auto"/>
              </w:rPr>
              <w:t>Compensation Actually Paid (as calculated)</w:t>
            </w:r>
          </w:p>
        </w:tc>
        <w:tc>
          <w:tcPr>
            <w:tcW w:w="1340" w:type="dxa"/>
            <w:vAlign w:val="bottom"/>
            <w:tcBorders>
              <w:bottom w:val="single" w:sz="8" w:color="auto"/>
            </w:tcBorders>
            <w:shd w:val="clear" w:color="auto" w:fill="F1F2F2"/>
          </w:tcPr>
          <w:p>
            <w:pPr>
              <w:jc w:val="right"/>
              <w:spacing w:after="0"/>
              <w:rPr>
                <w:sz w:val="20"/>
                <w:szCs w:val="20"/>
                <w:color w:val="auto"/>
              </w:rPr>
            </w:pPr>
            <w:r>
              <w:rPr>
                <w:rFonts w:ascii="Arial" w:cs="Arial" w:eastAsia="Arial" w:hAnsi="Arial"/>
                <w:sz w:val="14"/>
                <w:szCs w:val="14"/>
                <w:b w:val="1"/>
                <w:bCs w:val="1"/>
                <w:color w:val="auto"/>
              </w:rPr>
              <w:t>935,582</w:t>
            </w:r>
          </w:p>
        </w:tc>
        <w:tc>
          <w:tcPr>
            <w:tcW w:w="140" w:type="dxa"/>
            <w:vAlign w:val="bottom"/>
            <w:tcBorders>
              <w:bottom w:val="single" w:sz="8" w:color="auto"/>
            </w:tcBorders>
            <w:shd w:val="clear" w:color="auto" w:fill="F1F2F2"/>
          </w:tcPr>
          <w:p>
            <w:pPr>
              <w:spacing w:after="0"/>
              <w:rPr>
                <w:sz w:val="20"/>
                <w:szCs w:val="20"/>
                <w:color w:val="auto"/>
              </w:rPr>
            </w:pPr>
          </w:p>
        </w:tc>
        <w:tc>
          <w:tcPr>
            <w:tcW w:w="1480" w:type="dxa"/>
            <w:vAlign w:val="bottom"/>
            <w:tcBorders>
              <w:bottom w:val="single" w:sz="8" w:color="auto"/>
            </w:tcBorders>
            <w:shd w:val="clear" w:color="auto" w:fill="F1F2F2"/>
          </w:tcPr>
          <w:p>
            <w:pPr>
              <w:jc w:val="right"/>
              <w:ind w:right="128"/>
              <w:spacing w:after="0"/>
              <w:rPr>
                <w:sz w:val="20"/>
                <w:szCs w:val="20"/>
                <w:color w:val="auto"/>
              </w:rPr>
            </w:pPr>
            <w:r>
              <w:rPr>
                <w:rFonts w:ascii="Arial" w:cs="Arial" w:eastAsia="Arial" w:hAnsi="Arial"/>
                <w:sz w:val="14"/>
                <w:szCs w:val="14"/>
                <w:b w:val="1"/>
                <w:bCs w:val="1"/>
                <w:color w:val="auto"/>
              </w:rPr>
              <w:t>463,982</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640" w:hanging="308"/>
        <w:spacing w:after="0"/>
        <w:tabs>
          <w:tab w:leader="none" w:pos="640" w:val="left"/>
        </w:tabs>
        <w:numPr>
          <w:ilvl w:val="1"/>
          <w:numId w:val="32"/>
        </w:numPr>
        <w:rPr>
          <w:rFonts w:ascii="Arial" w:cs="Arial" w:eastAsia="Arial" w:hAnsi="Arial"/>
          <w:sz w:val="14"/>
          <w:szCs w:val="14"/>
          <w:color w:val="auto"/>
        </w:rPr>
      </w:pPr>
      <w:r>
        <w:rPr>
          <w:rFonts w:ascii="Arial" w:cs="Arial" w:eastAsia="Arial" w:hAnsi="Arial"/>
          <w:sz w:val="14"/>
          <w:szCs w:val="14"/>
          <w:color w:val="auto"/>
        </w:rPr>
        <w:t>Equity valuation assumptions for calculating Compensation Actually Paid are not materially different from grant date valuation assumptions.</w:t>
      </w:r>
    </w:p>
    <w:p>
      <w:pPr>
        <w:spacing w:after="0" w:line="68" w:lineRule="exact"/>
        <w:rPr>
          <w:rFonts w:ascii="Arial" w:cs="Arial" w:eastAsia="Arial" w:hAnsi="Arial"/>
          <w:sz w:val="14"/>
          <w:szCs w:val="14"/>
          <w:color w:val="auto"/>
        </w:rPr>
      </w:pPr>
    </w:p>
    <w:p>
      <w:pPr>
        <w:ind w:left="340" w:right="340" w:hanging="332"/>
        <w:spacing w:after="0" w:line="301" w:lineRule="auto"/>
        <w:tabs>
          <w:tab w:leader="none" w:pos="296" w:val="left"/>
        </w:tabs>
        <w:numPr>
          <w:ilvl w:val="0"/>
          <w:numId w:val="33"/>
        </w:numPr>
        <w:rPr>
          <w:rFonts w:ascii="Arial" w:cs="Arial" w:eastAsia="Arial" w:hAnsi="Arial"/>
          <w:sz w:val="14"/>
          <w:szCs w:val="14"/>
          <w:color w:val="auto"/>
        </w:rPr>
      </w:pPr>
      <w:r>
        <w:rPr>
          <w:rFonts w:ascii="Arial" w:cs="Arial" w:eastAsia="Arial" w:hAnsi="Arial"/>
          <w:sz w:val="14"/>
          <w:szCs w:val="14"/>
          <w:color w:val="auto"/>
        </w:rPr>
        <w:t>Compensation Actually Paid for Non-CEO NEOs in 2024 reflects an immaterial difference from the prior reported year to include shares in whole numbers vs. fractional shares.</w:t>
      </w:r>
    </w:p>
    <w:p>
      <w:pPr>
        <w:spacing w:after="0" w:line="1" w:lineRule="exact"/>
        <w:rPr>
          <w:rFonts w:ascii="Arial" w:cs="Arial" w:eastAsia="Arial" w:hAnsi="Arial"/>
          <w:sz w:val="14"/>
          <w:szCs w:val="14"/>
          <w:color w:val="auto"/>
        </w:rPr>
      </w:pPr>
    </w:p>
    <w:p>
      <w:pPr>
        <w:ind w:left="340" w:right="220" w:hanging="332"/>
        <w:spacing w:after="0" w:line="291" w:lineRule="auto"/>
        <w:tabs>
          <w:tab w:leader="none" w:pos="293" w:val="left"/>
        </w:tabs>
        <w:numPr>
          <w:ilvl w:val="0"/>
          <w:numId w:val="33"/>
        </w:numPr>
        <w:rPr>
          <w:rFonts w:ascii="Arial" w:cs="Arial" w:eastAsia="Arial" w:hAnsi="Arial"/>
          <w:sz w:val="14"/>
          <w:szCs w:val="14"/>
          <w:color w:val="auto"/>
        </w:rPr>
      </w:pPr>
      <w:r>
        <w:rPr>
          <w:rFonts w:ascii="Arial" w:cs="Arial" w:eastAsia="Arial" w:hAnsi="Arial"/>
          <w:sz w:val="14"/>
          <w:szCs w:val="14"/>
          <w:color w:val="auto"/>
        </w:rPr>
        <w:t>Total Stockholder Return represents the cumulative return on a fixed investment of $100 in the Company’s common stock, for the period beginning on June 27, 2024, the date our common stock commenced regular-way trading on the Nasdaq Exchange, through the end of the fiscal year, assuming reinvestment of dividends.</w:t>
      </w:r>
    </w:p>
    <w:p>
      <w:pPr>
        <w:spacing w:after="0" w:line="1" w:lineRule="exact"/>
        <w:rPr>
          <w:rFonts w:ascii="Arial" w:cs="Arial" w:eastAsia="Arial" w:hAnsi="Arial"/>
          <w:sz w:val="14"/>
          <w:szCs w:val="14"/>
          <w:color w:val="auto"/>
        </w:rPr>
      </w:pPr>
    </w:p>
    <w:p>
      <w:pPr>
        <w:ind w:left="340" w:right="40" w:hanging="332"/>
        <w:spacing w:after="0" w:line="276" w:lineRule="auto"/>
        <w:tabs>
          <w:tab w:leader="none" w:pos="296" w:val="left"/>
        </w:tabs>
        <w:numPr>
          <w:ilvl w:val="0"/>
          <w:numId w:val="33"/>
        </w:numPr>
        <w:rPr>
          <w:rFonts w:ascii="Arial" w:cs="Arial" w:eastAsia="Arial" w:hAnsi="Arial"/>
          <w:sz w:val="14"/>
          <w:szCs w:val="14"/>
          <w:color w:val="auto"/>
        </w:rPr>
      </w:pPr>
      <w:r>
        <w:rPr>
          <w:rFonts w:ascii="Arial" w:cs="Arial" w:eastAsia="Arial" w:hAnsi="Arial"/>
          <w:sz w:val="14"/>
          <w:szCs w:val="14"/>
          <w:color w:val="auto"/>
        </w:rPr>
        <w:t>Peer Group Total Stockholder Return represents the weighted average return on a fixed investment of $100 in the companies of: Bumble Inc., Fastly, Inc., fuboTV Inc., Grindr Inc., Lions Gate Entertainment Corp., Pinterest, Inc., Playstudios, Inc., Playtika Holding Corp., Roblox Corp, Unity Software Inc., Vimeo, Inc., Ziff Davis, Inc., and Reddit Inc. for the period beginning on June 27, 2024, through the end of each fiscal year, assuming reinvestment of dividends. Vimeo, Inc. was acquired on November 24, 2025, and, as a result, did not have a market value at the end of fiscal year 2025.</w:t>
      </w:r>
    </w:p>
    <w:p>
      <w:pPr>
        <w:spacing w:after="0" w:line="15" w:lineRule="exact"/>
        <w:rPr>
          <w:rFonts w:ascii="Arial" w:cs="Arial" w:eastAsia="Arial" w:hAnsi="Arial"/>
          <w:sz w:val="14"/>
          <w:szCs w:val="14"/>
          <w:color w:val="auto"/>
        </w:rPr>
      </w:pPr>
    </w:p>
    <w:p>
      <w:pPr>
        <w:ind w:left="280" w:hanging="272"/>
        <w:spacing w:after="0"/>
        <w:tabs>
          <w:tab w:leader="none" w:pos="2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Adjusted EBITDA is a non-GAAP financial measure. See Appendix A of this Proxy Statement for additional information on non-GAAP financial measures.</w:t>
      </w:r>
    </w:p>
    <w:p>
      <w:pPr>
        <w:spacing w:after="0" w:line="226" w:lineRule="exact"/>
        <w:rPr>
          <w:sz w:val="20"/>
          <w:szCs w:val="20"/>
          <w:color w:val="auto"/>
        </w:rPr>
      </w:pPr>
    </w:p>
    <w:p>
      <w:pPr>
        <w:jc w:val="both"/>
        <w:ind w:right="80"/>
        <w:spacing w:after="0" w:line="319" w:lineRule="auto"/>
        <w:rPr>
          <w:sz w:val="20"/>
          <w:szCs w:val="20"/>
          <w:color w:val="auto"/>
        </w:rPr>
      </w:pPr>
      <w:r>
        <w:rPr>
          <w:rFonts w:ascii="Arial" w:cs="Arial" w:eastAsia="Arial" w:hAnsi="Arial"/>
          <w:sz w:val="16"/>
          <w:szCs w:val="16"/>
          <w:color w:val="auto"/>
        </w:rPr>
        <w:t>The following three graphs describe the relationship between “compensation actually paid” to the CEO, as calculated in accordance with the SEC rules, and the average of “compensation actually paid” to the NEOs other than the CEO, all as calculated in accordance with SEC rules, and the TSR, net income, and Adjusted EBITDA information presented in the Pay Versus Performance table.</w:t>
      </w:r>
    </w:p>
    <w:p>
      <w:pPr>
        <w:spacing w:after="0" w:line="200" w:lineRule="exact"/>
        <w:rPr>
          <w:sz w:val="20"/>
          <w:szCs w:val="20"/>
          <w:color w:val="auto"/>
        </w:rPr>
      </w:pPr>
    </w:p>
    <w:p>
      <w:pPr>
        <w:spacing w:after="0" w:line="239" w:lineRule="exact"/>
        <w:rPr>
          <w:sz w:val="20"/>
          <w:szCs w:val="20"/>
          <w:color w:val="auto"/>
        </w:rPr>
      </w:pPr>
    </w:p>
    <w:p>
      <w:pPr>
        <w:ind w:left="20"/>
        <w:spacing w:after="0"/>
        <w:tabs>
          <w:tab w:leader="none" w:pos="5360" w:val="left"/>
        </w:tabs>
        <w:rPr>
          <w:sz w:val="20"/>
          <w:szCs w:val="20"/>
          <w:color w:val="auto"/>
        </w:rPr>
      </w:pPr>
      <w:r>
        <w:rPr>
          <w:rFonts w:ascii="Arial" w:cs="Arial" w:eastAsia="Arial" w:hAnsi="Arial"/>
          <w:sz w:val="14"/>
          <w:szCs w:val="14"/>
          <w:b w:val="1"/>
          <w:bCs w:val="1"/>
          <w:color w:val="auto"/>
        </w:rPr>
        <w:t>42</w:t>
      </w:r>
      <w:r>
        <w:rPr>
          <w:sz w:val="20"/>
          <w:szCs w:val="20"/>
          <w:color w:val="auto"/>
        </w:rPr>
        <w:tab/>
      </w:r>
      <w:r>
        <w:rPr>
          <w:sz w:val="1"/>
          <w:szCs w:val="1"/>
          <w:color w:val="auto"/>
        </w:rPr>
        <w:drawing>
          <wp:inline distT="0" distB="0" distL="0" distR="0">
            <wp:extent cx="282575" cy="274320"/>
            <wp:effectExtent l="0" t="0" r="0" b="0"/>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82575" cy="274320"/>
                    </a:xfrm>
                    <a:prstGeom prst="rect">
                      <a:avLst/>
                    </a:prstGeom>
                    <a:noFill/>
                    <a:ln>
                      <a:noFill/>
                    </a:ln>
                  </pic:spPr>
                </pic:pic>
              </a:graphicData>
            </a:graphic>
          </wp:inline>
        </w:drawing>
      </w:r>
      <w:r>
        <w:rPr>
          <w:rFonts w:ascii="Arial" w:cs="Arial" w:eastAsia="Arial" w:hAnsi="Arial"/>
          <w:sz w:val="14"/>
          <w:szCs w:val="14"/>
          <w:b w:val="1"/>
          <w:bCs w:val="1"/>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4"/>
          <w:szCs w:val="14"/>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726440</wp:posOffset>
            </wp:positionV>
            <wp:extent cx="5760720" cy="27946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760720" cy="2794635"/>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4301490</wp:posOffset>
            </wp:positionV>
            <wp:extent cx="5760720" cy="27946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760720" cy="279463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7635875</wp:posOffset>
            </wp:positionV>
            <wp:extent cx="282575" cy="2743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82575"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280" w:type="dxa"/>
            <w:vAlign w:val="bottom"/>
          </w:tcPr>
          <w:p>
            <w:pPr>
              <w:ind w:left="20"/>
              <w:spacing w:after="0"/>
              <w:rPr>
                <w:sz w:val="20"/>
                <w:szCs w:val="20"/>
                <w:color w:val="auto"/>
              </w:rPr>
            </w:pPr>
            <w:r>
              <w:rPr>
                <w:rFonts w:ascii="Arial" w:cs="Arial" w:eastAsia="Arial" w:hAnsi="Arial"/>
                <w:sz w:val="14"/>
                <w:szCs w:val="14"/>
                <w:b w:val="1"/>
                <w:bCs w:val="1"/>
                <w:color w:val="auto"/>
              </w:rPr>
              <w:t>2026 Proxy Statement</w:t>
            </w:r>
          </w:p>
        </w:tc>
        <w:tc>
          <w:tcPr>
            <w:tcW w:w="4960" w:type="dxa"/>
            <w:vAlign w:val="bottom"/>
          </w:tcPr>
          <w:p>
            <w:pPr>
              <w:jc w:val="right"/>
              <w:spacing w:after="0"/>
              <w:rPr>
                <w:sz w:val="20"/>
                <w:szCs w:val="20"/>
                <w:color w:val="auto"/>
              </w:rPr>
            </w:pPr>
            <w:r>
              <w:rPr>
                <w:rFonts w:ascii="Arial" w:cs="Arial" w:eastAsia="Arial" w:hAnsi="Arial"/>
                <w:sz w:val="14"/>
                <w:szCs w:val="14"/>
                <w:b w:val="1"/>
                <w:bCs w:val="1"/>
                <w:color w:val="auto"/>
              </w:rPr>
              <w:t>43</w:t>
            </w:r>
          </w:p>
        </w:tc>
      </w:tr>
      <w:tr>
        <w:trPr>
          <w:trHeight w:val="360"/>
        </w:trPr>
        <w:tc>
          <w:tcPr>
            <w:tcW w:w="6280" w:type="dxa"/>
            <w:vAlign w:val="bottom"/>
            <w:tcBorders>
              <w:bottom w:val="single" w:sz="8" w:color="9A9A9A"/>
            </w:tcBorders>
          </w:tcPr>
          <w:p>
            <w:pPr>
              <w:spacing w:after="0"/>
              <w:rPr>
                <w:sz w:val="24"/>
                <w:szCs w:val="24"/>
                <w:color w:val="auto"/>
              </w:rPr>
            </w:pPr>
          </w:p>
        </w:tc>
        <w:tc>
          <w:tcPr>
            <w:tcW w:w="4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4"/>
          <w:szCs w:val="14"/>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726440</wp:posOffset>
            </wp:positionV>
            <wp:extent cx="5760720" cy="27946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760720" cy="279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20"/>
          <w:szCs w:val="20"/>
          <w:b w:val="1"/>
          <w:bCs w:val="1"/>
          <w:color w:val="00DC64"/>
        </w:rPr>
        <w:t>FINANCIAL PERFORMANCE MEASURES</w:t>
      </w:r>
    </w:p>
    <w:p>
      <w:pPr>
        <w:spacing w:after="0" w:line="185" w:lineRule="exact"/>
        <w:rPr>
          <w:sz w:val="20"/>
          <w:szCs w:val="20"/>
          <w:color w:val="auto"/>
        </w:rPr>
      </w:pPr>
    </w:p>
    <w:p>
      <w:pPr>
        <w:ind w:right="540"/>
        <w:spacing w:after="0" w:line="339" w:lineRule="auto"/>
        <w:rPr>
          <w:sz w:val="20"/>
          <w:szCs w:val="20"/>
          <w:color w:val="auto"/>
        </w:rPr>
      </w:pPr>
      <w:r>
        <w:rPr>
          <w:rFonts w:ascii="Arial" w:cs="Arial" w:eastAsia="Arial" w:hAnsi="Arial"/>
          <w:sz w:val="16"/>
          <w:szCs w:val="16"/>
          <w:color w:val="auto"/>
        </w:rPr>
        <w:t>In our assessment, the most important financial performance measures used to link compensation actually paid to our NEOs in 2025, as calculated in accordance with the SEC rules, to our performance were:</w:t>
      </w:r>
    </w:p>
    <w:p>
      <w:pPr>
        <w:spacing w:after="0" w:line="101" w:lineRule="exact"/>
        <w:rPr>
          <w:sz w:val="20"/>
          <w:szCs w:val="20"/>
          <w:color w:val="auto"/>
        </w:rPr>
      </w:pPr>
    </w:p>
    <w:p>
      <w:pPr>
        <w:ind w:left="640" w:hanging="308"/>
        <w:spacing w:after="0"/>
        <w:tabs>
          <w:tab w:leader="none" w:pos="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Adjusted EBITDA</w:t>
      </w:r>
    </w:p>
    <w:p>
      <w:pPr>
        <w:spacing w:after="0" w:line="99" w:lineRule="exact"/>
        <w:rPr>
          <w:rFonts w:ascii="Arial" w:cs="Arial" w:eastAsia="Arial" w:hAnsi="Arial"/>
          <w:sz w:val="16"/>
          <w:szCs w:val="16"/>
          <w:color w:val="auto"/>
        </w:rPr>
      </w:pPr>
    </w:p>
    <w:p>
      <w:pPr>
        <w:ind w:left="640" w:hanging="308"/>
        <w:spacing w:after="0"/>
        <w:tabs>
          <w:tab w:leader="none" w:pos="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YoY Revenue Growth</w:t>
      </w:r>
    </w:p>
    <w:p>
      <w:pPr>
        <w:spacing w:after="0" w:line="86" w:lineRule="exact"/>
        <w:rPr>
          <w:rFonts w:ascii="Arial" w:cs="Arial" w:eastAsia="Arial" w:hAnsi="Arial"/>
          <w:sz w:val="16"/>
          <w:szCs w:val="16"/>
          <w:color w:val="auto"/>
        </w:rPr>
      </w:pPr>
    </w:p>
    <w:p>
      <w:pPr>
        <w:ind w:left="640" w:hanging="308"/>
        <w:spacing w:after="0"/>
        <w:tabs>
          <w:tab w:leader="none" w:pos="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Adjusted EBITDA Margin</w:t>
      </w:r>
    </w:p>
    <w:p>
      <w:pPr>
        <w:spacing w:after="0" w:line="99" w:lineRule="exact"/>
        <w:rPr>
          <w:rFonts w:ascii="Arial" w:cs="Arial" w:eastAsia="Arial" w:hAnsi="Arial"/>
          <w:sz w:val="16"/>
          <w:szCs w:val="16"/>
          <w:color w:val="auto"/>
        </w:rPr>
      </w:pPr>
    </w:p>
    <w:p>
      <w:pPr>
        <w:ind w:left="640" w:hanging="308"/>
        <w:spacing w:after="0"/>
        <w:tabs>
          <w:tab w:leader="none" w:pos="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0"/>
        <w:spacing w:after="0"/>
        <w:tabs>
          <w:tab w:leader="none" w:pos="5360" w:val="left"/>
        </w:tabs>
        <w:rPr>
          <w:sz w:val="20"/>
          <w:szCs w:val="20"/>
          <w:color w:val="auto"/>
        </w:rPr>
      </w:pPr>
      <w:r>
        <w:rPr>
          <w:rFonts w:ascii="Arial" w:cs="Arial" w:eastAsia="Arial" w:hAnsi="Arial"/>
          <w:sz w:val="14"/>
          <w:szCs w:val="14"/>
          <w:b w:val="1"/>
          <w:bCs w:val="1"/>
          <w:color w:val="auto"/>
        </w:rPr>
        <w:t>44</w:t>
      </w:r>
      <w:r>
        <w:rPr>
          <w:sz w:val="20"/>
          <w:szCs w:val="20"/>
          <w:color w:val="auto"/>
        </w:rPr>
        <w:tab/>
      </w:r>
      <w:r>
        <w:rPr>
          <w:sz w:val="1"/>
          <w:szCs w:val="1"/>
          <w:color w:val="auto"/>
        </w:rPr>
        <w:drawing>
          <wp:inline distT="0" distB="0" distL="0" distR="0">
            <wp:extent cx="282575" cy="274320"/>
            <wp:effectExtent l="0" t="0" r="0" b="0"/>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82575" cy="274320"/>
                    </a:xfrm>
                    <a:prstGeom prst="rect">
                      <a:avLst/>
                    </a:prstGeom>
                    <a:noFill/>
                    <a:ln>
                      <a:noFill/>
                    </a:ln>
                  </pic:spPr>
                </pic:pic>
              </a:graphicData>
            </a:graphic>
          </wp:inline>
        </w:drawing>
      </w:r>
      <w:r>
        <w:rPr>
          <w:rFonts w:ascii="Arial" w:cs="Arial" w:eastAsia="Arial" w:hAnsi="Arial"/>
          <w:sz w:val="14"/>
          <w:szCs w:val="14"/>
          <w:b w:val="1"/>
          <w:bCs w:val="1"/>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54"/>
          <w:szCs w:val="54"/>
          <w:b w:val="1"/>
          <w:bCs w:val="1"/>
          <w:color w:val="00DC64"/>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jc w:val="both"/>
        <w:ind w:right="240"/>
        <w:spacing w:after="0" w:line="310" w:lineRule="auto"/>
        <w:rPr>
          <w:sz w:val="20"/>
          <w:szCs w:val="20"/>
          <w:color w:val="auto"/>
        </w:rPr>
      </w:pPr>
      <w:r>
        <w:rPr>
          <w:rFonts w:ascii="Arial" w:cs="Arial" w:eastAsia="Arial" w:hAnsi="Arial"/>
          <w:sz w:val="16"/>
          <w:szCs w:val="16"/>
          <w:color w:val="auto"/>
        </w:rPr>
        <w:t>The Board has adopted a compensation program for our non-employee directors (the “Director Compensation Policy”). The Director Compensation Policy became effective as of June 27, 2024. Pursuant to the Director Compensation Policy, each member of the Board who is not our employee will receive the following cash compensation for board services, as applicable:</w:t>
      </w:r>
    </w:p>
    <w:p>
      <w:pPr>
        <w:spacing w:after="0" w:line="124" w:lineRule="exact"/>
        <w:rPr>
          <w:sz w:val="20"/>
          <w:szCs w:val="20"/>
          <w:color w:val="auto"/>
        </w:rPr>
      </w:pPr>
    </w:p>
    <w:p>
      <w:pPr>
        <w:ind w:left="640" w:hanging="308"/>
        <w:spacing w:after="0"/>
        <w:tabs>
          <w:tab w:leader="none" w:pos="6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$75,000 per year for service as a board member;</w:t>
      </w:r>
    </w:p>
    <w:p>
      <w:pPr>
        <w:spacing w:after="0" w:line="99" w:lineRule="exact"/>
        <w:rPr>
          <w:rFonts w:ascii="Arial" w:cs="Arial" w:eastAsia="Arial" w:hAnsi="Arial"/>
          <w:sz w:val="16"/>
          <w:szCs w:val="16"/>
          <w:color w:val="auto"/>
        </w:rPr>
      </w:pPr>
    </w:p>
    <w:p>
      <w:pPr>
        <w:ind w:left="660" w:right="160" w:hanging="328"/>
        <w:spacing w:after="0" w:line="325" w:lineRule="auto"/>
        <w:tabs>
          <w:tab w:leader="none" w:pos="649" w:val="left"/>
        </w:tabs>
        <w:numPr>
          <w:ilvl w:val="0"/>
          <w:numId w:val="35"/>
        </w:numPr>
        <w:rPr>
          <w:rFonts w:ascii="Arial" w:cs="Arial" w:eastAsia="Arial" w:hAnsi="Arial"/>
          <w:sz w:val="16"/>
          <w:szCs w:val="16"/>
          <w:color w:val="auto"/>
        </w:rPr>
      </w:pPr>
      <w:r>
        <w:rPr>
          <w:rFonts w:ascii="Arial" w:cs="Arial" w:eastAsia="Arial" w:hAnsi="Arial"/>
          <w:sz w:val="16"/>
          <w:szCs w:val="16"/>
          <w:color w:val="auto"/>
        </w:rPr>
        <w:t>$25,000 per year for service as chairperson of the Audit Committee, $17,000 per year for service as chairperson of the Compensation Committee, and $12,500 per year for service as chairperson of the Nominating and Corporate Governance Committee; and</w:t>
      </w:r>
    </w:p>
    <w:p>
      <w:pPr>
        <w:spacing w:after="0" w:line="1" w:lineRule="exact"/>
        <w:rPr>
          <w:rFonts w:ascii="Arial" w:cs="Arial" w:eastAsia="Arial" w:hAnsi="Arial"/>
          <w:sz w:val="16"/>
          <w:szCs w:val="16"/>
          <w:color w:val="auto"/>
        </w:rPr>
      </w:pPr>
    </w:p>
    <w:p>
      <w:pPr>
        <w:ind w:left="660" w:right="60" w:hanging="328"/>
        <w:spacing w:after="0" w:line="339" w:lineRule="auto"/>
        <w:tabs>
          <w:tab w:leader="none" w:pos="649" w:val="left"/>
        </w:tabs>
        <w:numPr>
          <w:ilvl w:val="0"/>
          <w:numId w:val="35"/>
        </w:numPr>
        <w:rPr>
          <w:rFonts w:ascii="Arial" w:cs="Arial" w:eastAsia="Arial" w:hAnsi="Arial"/>
          <w:sz w:val="16"/>
          <w:szCs w:val="16"/>
          <w:color w:val="auto"/>
        </w:rPr>
      </w:pPr>
      <w:r>
        <w:rPr>
          <w:rFonts w:ascii="Arial" w:cs="Arial" w:eastAsia="Arial" w:hAnsi="Arial"/>
          <w:sz w:val="16"/>
          <w:szCs w:val="16"/>
          <w:color w:val="auto"/>
        </w:rPr>
        <w:t>$12,000 per year for service as a member of the Audit Committee, $10,000 per year for service as a member of the Compensation Committee, and $7,500 per year for service as a member of the Nominating and Corporate Governance Committee.</w:t>
      </w:r>
    </w:p>
    <w:p>
      <w:pPr>
        <w:spacing w:after="0" w:line="101"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In addition, pursuant to the Director Compensation Policy, our non-employee directors will receive one-time initial grants of restricted stock units in the year of such initial election or appointment, each with a fair market value on the date of grant equal to approximately $450,000 (rounded to the nearest whole number of shares). This equity award will vest in 12 equal quarterly installments over a three-year period, subject to such director’s continuing service on the Board through each applicable vesting date.</w:t>
      </w:r>
    </w:p>
    <w:p>
      <w:pPr>
        <w:spacing w:after="0" w:line="128" w:lineRule="exact"/>
        <w:rPr>
          <w:sz w:val="20"/>
          <w:szCs w:val="20"/>
          <w:color w:val="auto"/>
        </w:rPr>
      </w:pPr>
    </w:p>
    <w:p>
      <w:pPr>
        <w:ind w:right="500"/>
        <w:spacing w:after="0" w:line="339" w:lineRule="auto"/>
        <w:rPr>
          <w:sz w:val="20"/>
          <w:szCs w:val="20"/>
          <w:color w:val="auto"/>
        </w:rPr>
      </w:pPr>
      <w:r>
        <w:rPr>
          <w:rFonts w:ascii="Arial" w:cs="Arial" w:eastAsia="Arial" w:hAnsi="Arial"/>
          <w:sz w:val="16"/>
          <w:szCs w:val="16"/>
          <w:color w:val="auto"/>
        </w:rPr>
        <w:t>Our Director Compensation Policy provides that the equity award shall be granted under, and shall be subject to, the terms and provisions of our 2024 Omnibus Incentive Plan and shall be granted subject to the execution and delivery of award agreements.</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b w:val="1"/>
          <w:bCs w:val="1"/>
          <w:color w:val="00DC64"/>
        </w:rPr>
        <w:t>DIRECTOR COMPENSATION TABLE</w:t>
      </w:r>
    </w:p>
    <w:p>
      <w:pPr>
        <w:spacing w:after="0" w:line="185"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The table below and the narrative in the footnotes provide compensation amounts for our non-employee directors for fiscal year 2025, as well as additional material information in connection with such amounts. For summary information on the provision of the plans and programs, refer to the “Director Compensation” discussion immediately preceding this table. Ms. Winkles, Ms. Dubuc and Mr. Jeong were the only non-employee directors who received compensation for their services to the Board during fiscal 2025.</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20" w:type="dxa"/>
            <w:vAlign w:val="bottom"/>
          </w:tcPr>
          <w:p>
            <w:pPr>
              <w:spacing w:after="0"/>
              <w:rPr>
                <w:sz w:val="14"/>
                <w:szCs w:val="14"/>
                <w:color w:val="auto"/>
              </w:rPr>
            </w:pPr>
          </w:p>
        </w:tc>
        <w:tc>
          <w:tcPr>
            <w:tcW w:w="4500" w:type="dxa"/>
            <w:vAlign w:val="bottom"/>
          </w:tcPr>
          <w:p>
            <w:pPr>
              <w:jc w:val="right"/>
              <w:ind w:right="433"/>
              <w:spacing w:after="0"/>
              <w:rPr>
                <w:sz w:val="20"/>
                <w:szCs w:val="20"/>
                <w:color w:val="auto"/>
              </w:rPr>
            </w:pPr>
            <w:r>
              <w:rPr>
                <w:rFonts w:ascii="Arial" w:cs="Arial" w:eastAsia="Arial" w:hAnsi="Arial"/>
                <w:sz w:val="14"/>
                <w:szCs w:val="14"/>
                <w:b w:val="1"/>
                <w:bCs w:val="1"/>
                <w:color w:val="auto"/>
              </w:rPr>
              <w:t>Fees earned or paid in cash</w:t>
            </w:r>
          </w:p>
        </w:tc>
        <w:tc>
          <w:tcPr>
            <w:tcW w:w="2060" w:type="dxa"/>
            <w:vAlign w:val="bottom"/>
          </w:tcPr>
          <w:p>
            <w:pPr>
              <w:jc w:val="right"/>
              <w:ind w:right="553"/>
              <w:spacing w:after="0"/>
              <w:rPr>
                <w:sz w:val="20"/>
                <w:szCs w:val="20"/>
                <w:color w:val="auto"/>
              </w:rPr>
            </w:pPr>
            <w:r>
              <w:rPr>
                <w:rFonts w:ascii="Arial" w:cs="Arial" w:eastAsia="Arial" w:hAnsi="Arial"/>
                <w:sz w:val="14"/>
                <w:szCs w:val="14"/>
                <w:b w:val="1"/>
                <w:bCs w:val="1"/>
                <w:color w:val="auto"/>
              </w:rPr>
              <w:t>Stock awards</w:t>
            </w:r>
          </w:p>
        </w:tc>
        <w:tc>
          <w:tcPr>
            <w:tcW w:w="1360" w:type="dxa"/>
            <w:vAlign w:val="bottom"/>
          </w:tcPr>
          <w:p>
            <w:pPr>
              <w:jc w:val="right"/>
              <w:ind w:right="128"/>
              <w:spacing w:after="0"/>
              <w:rPr>
                <w:sz w:val="20"/>
                <w:szCs w:val="20"/>
                <w:color w:val="auto"/>
              </w:rPr>
            </w:pPr>
            <w:r>
              <w:rPr>
                <w:rFonts w:ascii="Arial" w:cs="Arial" w:eastAsia="Arial" w:hAnsi="Arial"/>
                <w:sz w:val="14"/>
                <w:szCs w:val="14"/>
                <w:b w:val="1"/>
                <w:bCs w:val="1"/>
                <w:color w:val="auto"/>
              </w:rPr>
              <w:t>Total</w:t>
            </w:r>
          </w:p>
        </w:tc>
      </w:tr>
      <w:tr>
        <w:trPr>
          <w:trHeight w:val="320"/>
        </w:trPr>
        <w:tc>
          <w:tcPr>
            <w:tcW w:w="3320" w:type="dxa"/>
            <w:vAlign w:val="bottom"/>
          </w:tcPr>
          <w:p>
            <w:pPr>
              <w:ind w:left="100"/>
              <w:spacing w:after="0"/>
              <w:rPr>
                <w:sz w:val="20"/>
                <w:szCs w:val="20"/>
                <w:color w:val="auto"/>
              </w:rPr>
            </w:pPr>
            <w:r>
              <w:rPr>
                <w:rFonts w:ascii="Arial" w:cs="Arial" w:eastAsia="Arial" w:hAnsi="Arial"/>
                <w:sz w:val="14"/>
                <w:szCs w:val="14"/>
                <w:b w:val="1"/>
                <w:bCs w:val="1"/>
                <w:color w:val="auto"/>
              </w:rPr>
              <w:t>Name</w:t>
            </w:r>
          </w:p>
        </w:tc>
        <w:tc>
          <w:tcPr>
            <w:tcW w:w="4500" w:type="dxa"/>
            <w:vAlign w:val="bottom"/>
          </w:tcPr>
          <w:p>
            <w:pPr>
              <w:jc w:val="right"/>
              <w:ind w:right="433"/>
              <w:spacing w:after="0" w:line="320"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9"/>
                <w:szCs w:val="9"/>
                <w:b w:val="1"/>
                <w:bCs w:val="1"/>
                <w:color w:val="auto"/>
              </w:rPr>
              <w:t>(1)</w:t>
            </w:r>
          </w:p>
        </w:tc>
        <w:tc>
          <w:tcPr>
            <w:tcW w:w="2060" w:type="dxa"/>
            <w:vAlign w:val="bottom"/>
          </w:tcPr>
          <w:p>
            <w:pPr>
              <w:jc w:val="right"/>
              <w:ind w:right="553"/>
              <w:spacing w:after="0" w:line="320"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9"/>
                <w:szCs w:val="9"/>
                <w:b w:val="1"/>
                <w:bCs w:val="1"/>
                <w:color w:val="auto"/>
              </w:rPr>
              <w:t>(2)</w:t>
            </w:r>
          </w:p>
        </w:tc>
        <w:tc>
          <w:tcPr>
            <w:tcW w:w="13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r>
      <w:tr>
        <w:trPr>
          <w:trHeight w:val="230"/>
        </w:trPr>
        <w:tc>
          <w:tcPr>
            <w:tcW w:w="3320" w:type="dxa"/>
            <w:vAlign w:val="bottom"/>
            <w:shd w:val="clear" w:color="auto" w:fill="F1F2F2"/>
          </w:tcPr>
          <w:p>
            <w:pPr>
              <w:ind w:left="100"/>
              <w:spacing w:after="0"/>
              <w:rPr>
                <w:sz w:val="20"/>
                <w:szCs w:val="20"/>
                <w:color w:val="auto"/>
              </w:rPr>
            </w:pPr>
            <w:r>
              <w:rPr>
                <w:rFonts w:ascii="Arial" w:cs="Arial" w:eastAsia="Arial" w:hAnsi="Arial"/>
                <w:sz w:val="14"/>
                <w:szCs w:val="14"/>
                <w:b w:val="1"/>
                <w:bCs w:val="1"/>
                <w:color w:val="auto"/>
              </w:rPr>
              <w:t>Isabelle Winkles</w:t>
            </w:r>
          </w:p>
        </w:tc>
        <w:tc>
          <w:tcPr>
            <w:tcW w:w="4500" w:type="dxa"/>
            <w:vAlign w:val="bottom"/>
            <w:shd w:val="clear" w:color="auto" w:fill="F1F2F2"/>
          </w:tcPr>
          <w:p>
            <w:pPr>
              <w:jc w:val="right"/>
              <w:ind w:right="473"/>
              <w:spacing w:after="0"/>
              <w:rPr>
                <w:sz w:val="20"/>
                <w:szCs w:val="20"/>
                <w:color w:val="auto"/>
              </w:rPr>
            </w:pPr>
            <w:r>
              <w:rPr>
                <w:rFonts w:ascii="Arial" w:cs="Arial" w:eastAsia="Arial" w:hAnsi="Arial"/>
                <w:sz w:val="14"/>
                <w:szCs w:val="14"/>
                <w:color w:val="auto"/>
              </w:rPr>
              <w:t>100,000</w:t>
            </w:r>
          </w:p>
        </w:tc>
        <w:tc>
          <w:tcPr>
            <w:tcW w:w="2060" w:type="dxa"/>
            <w:vAlign w:val="bottom"/>
            <w:shd w:val="clear" w:color="auto" w:fill="F1F2F2"/>
          </w:tcPr>
          <w:p>
            <w:pPr>
              <w:jc w:val="right"/>
              <w:ind w:right="613"/>
              <w:spacing w:after="0"/>
              <w:rPr>
                <w:sz w:val="20"/>
                <w:szCs w:val="20"/>
                <w:color w:val="auto"/>
              </w:rPr>
            </w:pPr>
            <w:r>
              <w:rPr>
                <w:rFonts w:ascii="Arial" w:cs="Arial" w:eastAsia="Arial" w:hAnsi="Arial"/>
                <w:sz w:val="14"/>
                <w:szCs w:val="14"/>
                <w:color w:val="auto"/>
              </w:rPr>
              <w:t>—</w:t>
            </w:r>
          </w:p>
        </w:tc>
        <w:tc>
          <w:tcPr>
            <w:tcW w:w="1360" w:type="dxa"/>
            <w:vAlign w:val="bottom"/>
            <w:shd w:val="clear" w:color="auto" w:fill="F1F2F2"/>
          </w:tcPr>
          <w:p>
            <w:pPr>
              <w:jc w:val="right"/>
              <w:ind w:right="148"/>
              <w:spacing w:after="0"/>
              <w:rPr>
                <w:sz w:val="20"/>
                <w:szCs w:val="20"/>
                <w:color w:val="auto"/>
              </w:rPr>
            </w:pPr>
            <w:r>
              <w:rPr>
                <w:rFonts w:ascii="Arial" w:cs="Arial" w:eastAsia="Arial" w:hAnsi="Arial"/>
                <w:sz w:val="14"/>
                <w:szCs w:val="14"/>
                <w:color w:val="auto"/>
              </w:rPr>
              <w:t>100,000</w:t>
            </w:r>
          </w:p>
        </w:tc>
      </w:tr>
      <w:tr>
        <w:trPr>
          <w:trHeight w:val="222"/>
        </w:trPr>
        <w:tc>
          <w:tcPr>
            <w:tcW w:w="3320" w:type="dxa"/>
            <w:vAlign w:val="bottom"/>
          </w:tcPr>
          <w:p>
            <w:pPr>
              <w:ind w:left="100"/>
              <w:spacing w:after="0"/>
              <w:rPr>
                <w:sz w:val="20"/>
                <w:szCs w:val="20"/>
                <w:color w:val="auto"/>
              </w:rPr>
            </w:pPr>
            <w:r>
              <w:rPr>
                <w:rFonts w:ascii="Arial" w:cs="Arial" w:eastAsia="Arial" w:hAnsi="Arial"/>
                <w:sz w:val="14"/>
                <w:szCs w:val="14"/>
                <w:b w:val="1"/>
                <w:bCs w:val="1"/>
                <w:color w:val="auto"/>
              </w:rPr>
              <w:t>Nancy Dubuc</w:t>
            </w:r>
          </w:p>
        </w:tc>
        <w:tc>
          <w:tcPr>
            <w:tcW w:w="4500" w:type="dxa"/>
            <w:vAlign w:val="bottom"/>
          </w:tcPr>
          <w:p>
            <w:pPr>
              <w:jc w:val="right"/>
              <w:ind w:right="473"/>
              <w:spacing w:after="0"/>
              <w:rPr>
                <w:sz w:val="20"/>
                <w:szCs w:val="20"/>
                <w:color w:val="auto"/>
              </w:rPr>
            </w:pPr>
            <w:r>
              <w:rPr>
                <w:rFonts w:ascii="Arial" w:cs="Arial" w:eastAsia="Arial" w:hAnsi="Arial"/>
                <w:sz w:val="14"/>
                <w:szCs w:val="14"/>
                <w:color w:val="auto"/>
              </w:rPr>
              <w:t>97,000</w:t>
            </w:r>
          </w:p>
        </w:tc>
        <w:tc>
          <w:tcPr>
            <w:tcW w:w="2060" w:type="dxa"/>
            <w:vAlign w:val="bottom"/>
          </w:tcPr>
          <w:p>
            <w:pPr>
              <w:jc w:val="right"/>
              <w:ind w:right="613"/>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148"/>
              <w:spacing w:after="0"/>
              <w:rPr>
                <w:sz w:val="20"/>
                <w:szCs w:val="20"/>
                <w:color w:val="auto"/>
              </w:rPr>
            </w:pPr>
            <w:r>
              <w:rPr>
                <w:rFonts w:ascii="Arial" w:cs="Arial" w:eastAsia="Arial" w:hAnsi="Arial"/>
                <w:sz w:val="14"/>
                <w:szCs w:val="14"/>
                <w:color w:val="auto"/>
              </w:rPr>
              <w:t>97,000</w:t>
            </w:r>
          </w:p>
        </w:tc>
      </w:tr>
      <w:tr>
        <w:trPr>
          <w:trHeight w:val="231"/>
        </w:trPr>
        <w:tc>
          <w:tcPr>
            <w:tcW w:w="3320" w:type="dxa"/>
            <w:vAlign w:val="bottom"/>
            <w:tcBorders>
              <w:bottom w:val="single" w:sz="8" w:color="auto"/>
            </w:tcBorders>
            <w:shd w:val="clear" w:color="auto" w:fill="F1F2F2"/>
          </w:tcPr>
          <w:p>
            <w:pPr>
              <w:ind w:left="100"/>
              <w:spacing w:after="0"/>
              <w:rPr>
                <w:sz w:val="20"/>
                <w:szCs w:val="20"/>
                <w:color w:val="auto"/>
              </w:rPr>
            </w:pPr>
            <w:r>
              <w:rPr>
                <w:rFonts w:ascii="Arial" w:cs="Arial" w:eastAsia="Arial" w:hAnsi="Arial"/>
                <w:sz w:val="14"/>
                <w:szCs w:val="14"/>
                <w:b w:val="1"/>
                <w:bCs w:val="1"/>
                <w:color w:val="auto"/>
              </w:rPr>
              <w:t>Saeju Jeong</w:t>
            </w:r>
          </w:p>
        </w:tc>
        <w:tc>
          <w:tcPr>
            <w:tcW w:w="4500" w:type="dxa"/>
            <w:vAlign w:val="bottom"/>
            <w:tcBorders>
              <w:bottom w:val="single" w:sz="8" w:color="auto"/>
            </w:tcBorders>
            <w:shd w:val="clear" w:color="auto" w:fill="F1F2F2"/>
          </w:tcPr>
          <w:p>
            <w:pPr>
              <w:jc w:val="right"/>
              <w:ind w:right="473"/>
              <w:spacing w:after="0"/>
              <w:rPr>
                <w:sz w:val="20"/>
                <w:szCs w:val="20"/>
                <w:color w:val="auto"/>
              </w:rPr>
            </w:pPr>
            <w:r>
              <w:rPr>
                <w:rFonts w:ascii="Arial" w:cs="Arial" w:eastAsia="Arial" w:hAnsi="Arial"/>
                <w:sz w:val="14"/>
                <w:szCs w:val="14"/>
                <w:color w:val="auto"/>
              </w:rPr>
              <w:t>45,192</w:t>
            </w:r>
          </w:p>
        </w:tc>
        <w:tc>
          <w:tcPr>
            <w:tcW w:w="2060" w:type="dxa"/>
            <w:vAlign w:val="bottom"/>
            <w:tcBorders>
              <w:bottom w:val="single" w:sz="8" w:color="auto"/>
            </w:tcBorders>
            <w:shd w:val="clear" w:color="auto" w:fill="F1F2F2"/>
          </w:tcPr>
          <w:p>
            <w:pPr>
              <w:jc w:val="right"/>
              <w:ind w:right="613"/>
              <w:spacing w:after="0"/>
              <w:rPr>
                <w:sz w:val="20"/>
                <w:szCs w:val="20"/>
                <w:color w:val="auto"/>
              </w:rPr>
            </w:pPr>
            <w:r>
              <w:rPr>
                <w:rFonts w:ascii="Arial" w:cs="Arial" w:eastAsia="Arial" w:hAnsi="Arial"/>
                <w:sz w:val="14"/>
                <w:szCs w:val="14"/>
                <w:color w:val="auto"/>
              </w:rPr>
              <w:t>450,000</w:t>
            </w:r>
          </w:p>
        </w:tc>
        <w:tc>
          <w:tcPr>
            <w:tcW w:w="1360" w:type="dxa"/>
            <w:vAlign w:val="bottom"/>
            <w:tcBorders>
              <w:bottom w:val="single" w:sz="8" w:color="auto"/>
            </w:tcBorders>
            <w:shd w:val="clear" w:color="auto" w:fill="F1F2F2"/>
          </w:tcPr>
          <w:p>
            <w:pPr>
              <w:jc w:val="right"/>
              <w:ind w:right="148"/>
              <w:spacing w:after="0"/>
              <w:rPr>
                <w:sz w:val="20"/>
                <w:szCs w:val="20"/>
                <w:color w:val="auto"/>
              </w:rPr>
            </w:pPr>
            <w:r>
              <w:rPr>
                <w:rFonts w:ascii="Arial" w:cs="Arial" w:eastAsia="Arial" w:hAnsi="Arial"/>
                <w:sz w:val="14"/>
                <w:szCs w:val="14"/>
                <w:color w:val="auto"/>
              </w:rPr>
              <w:t>495,192</w:t>
            </w:r>
          </w:p>
        </w:tc>
      </w:tr>
    </w:tbl>
    <w:p>
      <w:pPr>
        <w:spacing w:after="0" w:line="126" w:lineRule="exact"/>
        <w:rPr>
          <w:sz w:val="20"/>
          <w:szCs w:val="20"/>
          <w:color w:val="auto"/>
        </w:rPr>
      </w:pPr>
    </w:p>
    <w:p>
      <w:pPr>
        <w:ind w:left="340" w:right="60" w:hanging="332"/>
        <w:spacing w:after="0" w:line="301" w:lineRule="auto"/>
        <w:tabs>
          <w:tab w:leader="none" w:pos="338" w:val="left"/>
        </w:tabs>
        <w:numPr>
          <w:ilvl w:val="0"/>
          <w:numId w:val="36"/>
        </w:numPr>
        <w:rPr>
          <w:rFonts w:ascii="Arial" w:cs="Arial" w:eastAsia="Arial" w:hAnsi="Arial"/>
          <w:sz w:val="14"/>
          <w:szCs w:val="14"/>
          <w:color w:val="auto"/>
        </w:rPr>
      </w:pPr>
      <w:r>
        <w:rPr>
          <w:rFonts w:ascii="Arial" w:cs="Arial" w:eastAsia="Arial" w:hAnsi="Arial"/>
          <w:sz w:val="14"/>
          <w:szCs w:val="14"/>
          <w:color w:val="auto"/>
        </w:rPr>
        <w:t>Represents the annual cash fees paid to Ms. Winkles, Ms. Dubuc and Mr. Jeong for service provided to the Board in 2025, prorated for partial year of service for Mr. Jeong who joined the board in June 2025.</w:t>
      </w:r>
    </w:p>
    <w:p>
      <w:pPr>
        <w:spacing w:after="0" w:line="1" w:lineRule="exact"/>
        <w:rPr>
          <w:rFonts w:ascii="Arial" w:cs="Arial" w:eastAsia="Arial" w:hAnsi="Arial"/>
          <w:sz w:val="14"/>
          <w:szCs w:val="14"/>
          <w:color w:val="auto"/>
        </w:rPr>
      </w:pPr>
    </w:p>
    <w:p>
      <w:pPr>
        <w:ind w:left="340" w:right="40" w:hanging="332"/>
        <w:spacing w:after="0" w:line="273" w:lineRule="auto"/>
        <w:tabs>
          <w:tab w:leader="none" w:pos="338" w:val="left"/>
        </w:tabs>
        <w:numPr>
          <w:ilvl w:val="0"/>
          <w:numId w:val="36"/>
        </w:numPr>
        <w:rPr>
          <w:rFonts w:ascii="Arial" w:cs="Arial" w:eastAsia="Arial" w:hAnsi="Arial"/>
          <w:sz w:val="14"/>
          <w:szCs w:val="14"/>
          <w:color w:val="auto"/>
        </w:rPr>
      </w:pPr>
      <w:r>
        <w:rPr>
          <w:rFonts w:ascii="Arial" w:cs="Arial" w:eastAsia="Arial" w:hAnsi="Arial"/>
          <w:sz w:val="14"/>
          <w:szCs w:val="14"/>
          <w:color w:val="auto"/>
        </w:rPr>
        <w:t>Represents the aggregate grant date fair value, computed in accordance with FASB ASC Topic 718, of restricted stock awards granted to Mr. Jeong upon joining the Board in June 2025. As of December 31, 2025, our non-employee directors (as of such date) held outstanding and unvested stock awards in the following amounts: Ms. Winkles held 11,070 shares of restricted stock; Ms. Dubuc held 10,005 shares of restricted stock; and Mr. Jeong held 40,410 shares of restricted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248285</wp:posOffset>
            </wp:positionV>
            <wp:extent cx="282575" cy="27432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82575" cy="27432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280" w:type="dxa"/>
            <w:vAlign w:val="bottom"/>
          </w:tcPr>
          <w:p>
            <w:pPr>
              <w:ind w:left="20"/>
              <w:spacing w:after="0"/>
              <w:rPr>
                <w:sz w:val="20"/>
                <w:szCs w:val="20"/>
                <w:color w:val="auto"/>
              </w:rPr>
            </w:pPr>
            <w:r>
              <w:rPr>
                <w:rFonts w:ascii="Arial" w:cs="Arial" w:eastAsia="Arial" w:hAnsi="Arial"/>
                <w:sz w:val="14"/>
                <w:szCs w:val="14"/>
                <w:b w:val="1"/>
                <w:bCs w:val="1"/>
                <w:color w:val="auto"/>
              </w:rPr>
              <w:t>2026 Proxy Statement</w:t>
            </w:r>
          </w:p>
        </w:tc>
        <w:tc>
          <w:tcPr>
            <w:tcW w:w="4960" w:type="dxa"/>
            <w:vAlign w:val="bottom"/>
          </w:tcPr>
          <w:p>
            <w:pPr>
              <w:jc w:val="right"/>
              <w:spacing w:after="0"/>
              <w:rPr>
                <w:sz w:val="20"/>
                <w:szCs w:val="20"/>
                <w:color w:val="auto"/>
              </w:rPr>
            </w:pPr>
            <w:r>
              <w:rPr>
                <w:rFonts w:ascii="Arial" w:cs="Arial" w:eastAsia="Arial" w:hAnsi="Arial"/>
                <w:sz w:val="14"/>
                <w:szCs w:val="14"/>
                <w:b w:val="1"/>
                <w:bCs w:val="1"/>
                <w:color w:val="auto"/>
              </w:rPr>
              <w:t>45</w:t>
            </w:r>
          </w:p>
        </w:tc>
      </w:tr>
      <w:tr>
        <w:trPr>
          <w:trHeight w:val="360"/>
        </w:trPr>
        <w:tc>
          <w:tcPr>
            <w:tcW w:w="6280" w:type="dxa"/>
            <w:vAlign w:val="bottom"/>
            <w:tcBorders>
              <w:bottom w:val="single" w:sz="8" w:color="9A9A9A"/>
            </w:tcBorders>
          </w:tcPr>
          <w:p>
            <w:pPr>
              <w:spacing w:after="0"/>
              <w:rPr>
                <w:sz w:val="24"/>
                <w:szCs w:val="24"/>
                <w:color w:val="auto"/>
              </w:rPr>
            </w:pPr>
          </w:p>
        </w:tc>
        <w:tc>
          <w:tcPr>
            <w:tcW w:w="4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960"/>
        <w:spacing w:after="0" w:line="299" w:lineRule="auto"/>
        <w:rPr>
          <w:sz w:val="20"/>
          <w:szCs w:val="20"/>
          <w:color w:val="auto"/>
        </w:rPr>
      </w:pPr>
      <w:r>
        <w:rPr>
          <w:rFonts w:ascii="Arial" w:cs="Arial" w:eastAsia="Arial" w:hAnsi="Arial"/>
          <w:sz w:val="54"/>
          <w:szCs w:val="54"/>
          <w:b w:val="1"/>
          <w:bCs w:val="1"/>
          <w:color w:val="00DC64"/>
        </w:rPr>
        <w:t>Certain Relationships and Related Party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13232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b w:val="1"/>
          <w:bCs w:val="1"/>
          <w:color w:val="00DC64"/>
        </w:rPr>
        <w:t>REVIEW, APPROVAL OR RATIFICATION OF TRANSACTIONS WITH RELATED PERSONS</w:t>
      </w:r>
    </w:p>
    <w:p>
      <w:pPr>
        <w:spacing w:after="0" w:line="185"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Our Audit Committee has primary responsibility for reviewing, approving and overseeing transactions with related parties. Our Audit Committee charter provides that the Audit Committee shall review, approve and oversee related party transactions on an ongoing basis, in accordance with Company policies and procedures, including the formal written policy the Company has adopted that sets forth procedures for review, approval and ratification of such transactions (the “Related Party Transactions Policy”).</w:t>
      </w:r>
    </w:p>
    <w:p>
      <w:pPr>
        <w:spacing w:after="0" w:line="110" w:lineRule="exact"/>
        <w:rPr>
          <w:sz w:val="20"/>
          <w:szCs w:val="20"/>
          <w:color w:val="auto"/>
        </w:rPr>
      </w:pPr>
    </w:p>
    <w:p>
      <w:pPr>
        <w:ind w:right="20"/>
        <w:spacing w:after="0" w:line="299" w:lineRule="auto"/>
        <w:rPr>
          <w:sz w:val="20"/>
          <w:szCs w:val="20"/>
          <w:color w:val="auto"/>
        </w:rPr>
      </w:pPr>
      <w:r>
        <w:rPr>
          <w:rFonts w:ascii="Arial" w:cs="Arial" w:eastAsia="Arial" w:hAnsi="Arial"/>
          <w:sz w:val="16"/>
          <w:szCs w:val="16"/>
          <w:color w:val="auto"/>
        </w:rPr>
        <w:t>The Related Party Transactions Policy provides that our executive officers, directors, nominees for election as directors, beneficial owners of more than 5% of any class of our voting stock, any member of the immediate family of any of the foregoing persons and any firm, corporation or other entity in which any of the foregoing persons is employed, is a director, general partner or principal or in a similar position, or in which such person has a 10% or greater beneficial ownership interest, is not permitted to enter into a transaction with us without the consent of our Audit Committee, subject to the exceptions described below. In approving or rejecting any such proposal, our Audit Committee is to consider the relevant facts and circumstances available and deemed relevant to our Audit Committee, including whether the transaction is on terms no less favorable than terms generally available to an unrelated third party, whether the transaction will be undertaken in the ordinary course of the Company, and the approximate dollar value of the amount involved in the transaction. Our Audit Committee has reviewed and determined that certain transactions shall be deemed to be pre-approved by the Audit Committee, unless specifically determined otherwise by the Audit Committee. Such transactions include certain employment arrangements of executive officers, director compensation, transactions with another company at which a related party’s only relationship is as a non-executive employee or beneficial owner of less than 10% of that company’s shares, transactions where a related party’s interest arises solely from the ownership of our common stock and all holders of our common stock received the same benefit on a pro rata basis, certain charitable contributions, and certain ordinary course intercompany service agreements and property leases with NAVER or LY Corporation and their respective subsidiaries that were negotiated on an arm’s-length basis.</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00DC64"/>
        </w:rPr>
        <w:t>CERTAIN RELATED PERSONS TRANSACTIONS</w:t>
      </w:r>
    </w:p>
    <w:p>
      <w:pPr>
        <w:spacing w:after="0" w:line="185" w:lineRule="exact"/>
        <w:rPr>
          <w:sz w:val="20"/>
          <w:szCs w:val="20"/>
          <w:color w:val="auto"/>
        </w:rPr>
      </w:pPr>
    </w:p>
    <w:p>
      <w:pPr>
        <w:ind w:right="80"/>
        <w:spacing w:after="0" w:line="309" w:lineRule="auto"/>
        <w:rPr>
          <w:sz w:val="20"/>
          <w:szCs w:val="20"/>
          <w:color w:val="auto"/>
        </w:rPr>
      </w:pPr>
      <w:r>
        <w:rPr>
          <w:rFonts w:ascii="Arial" w:cs="Arial" w:eastAsia="Arial" w:hAnsi="Arial"/>
          <w:sz w:val="16"/>
          <w:szCs w:val="16"/>
          <w:color w:val="auto"/>
        </w:rPr>
        <w:t>The following is a summary of transactions since the beginning of our last fiscal year, and any currently proposed transactions to which we are a party in which the amount involved exceeded or exceeds $120,000 and in which any of our directors, executive officers, holders of more than 5% of any class of our voting securities, or any member of the immediate family of any of the foregoing persons, had or will have a direct or indirect material interest, other than compensation arrangements with directors and executive officers, which are described under the sections titled “Executive Compensation” and “Director Compensation.”</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Intercompany Services and Property Leases</w:t>
      </w:r>
    </w:p>
    <w:p>
      <w:pPr>
        <w:spacing w:after="0" w:line="154"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We entered into certain service agreements with NAVER, LY Corporation (“LY”; and formerly named Z Holdings Corporation) and their respective subsidiaries, pursuant to which NAVER, LY or their subsidiaries have provided certain services to us, including, but not limited to, information technology management, platform development and management, payment service, brand usage and outsourcing service, advertisement platform, management and administrative support service, software research and development service, content management and video production service, user interface development and design, customer support, payment gateway services and platform management services. NAVER or their subsidiaries have also granted us licenses to certain of their intellectual property, including trademarks, domain names and rights to titles. We also provided certain services or licensed the use of our platform or intellectual property to NAVER, LY or their subsidiaries. We expect to continue to rely on NAVER for the functions and services covered by the services agreements in the future.</w:t>
      </w:r>
    </w:p>
    <w:p>
      <w:pPr>
        <w:spacing w:after="0" w:line="200" w:lineRule="exact"/>
        <w:rPr>
          <w:sz w:val="20"/>
          <w:szCs w:val="20"/>
          <w:color w:val="auto"/>
        </w:rPr>
      </w:pPr>
    </w:p>
    <w:p>
      <w:pPr>
        <w:spacing w:after="0" w:line="254" w:lineRule="exact"/>
        <w:rPr>
          <w:sz w:val="20"/>
          <w:szCs w:val="20"/>
          <w:color w:val="auto"/>
        </w:rPr>
      </w:pPr>
    </w:p>
    <w:p>
      <w:pPr>
        <w:ind w:left="20"/>
        <w:spacing w:after="0"/>
        <w:tabs>
          <w:tab w:leader="none" w:pos="5360" w:val="left"/>
        </w:tabs>
        <w:rPr>
          <w:sz w:val="20"/>
          <w:szCs w:val="20"/>
          <w:color w:val="auto"/>
        </w:rPr>
      </w:pPr>
      <w:r>
        <w:rPr>
          <w:rFonts w:ascii="Arial" w:cs="Arial" w:eastAsia="Arial" w:hAnsi="Arial"/>
          <w:sz w:val="14"/>
          <w:szCs w:val="14"/>
          <w:b w:val="1"/>
          <w:bCs w:val="1"/>
          <w:color w:val="auto"/>
        </w:rPr>
        <w:t>46</w:t>
      </w:r>
      <w:r>
        <w:rPr>
          <w:sz w:val="20"/>
          <w:szCs w:val="20"/>
          <w:color w:val="auto"/>
        </w:rPr>
        <w:tab/>
      </w:r>
      <w:r>
        <w:rPr>
          <w:sz w:val="1"/>
          <w:szCs w:val="1"/>
          <w:color w:val="auto"/>
        </w:rPr>
        <w:drawing>
          <wp:inline distT="0" distB="0" distL="0" distR="0">
            <wp:extent cx="282575" cy="274320"/>
            <wp:effectExtent l="0" t="0" r="0" b="0"/>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82575" cy="274320"/>
                    </a:xfrm>
                    <a:prstGeom prst="rect">
                      <a:avLst/>
                    </a:prstGeom>
                    <a:noFill/>
                    <a:ln>
                      <a:noFill/>
                    </a:ln>
                  </pic:spPr>
                </pic:pic>
              </a:graphicData>
            </a:graphic>
          </wp:inline>
        </w:drawing>
      </w:r>
      <w:r>
        <w:rPr>
          <w:rFonts w:ascii="Arial" w:cs="Arial" w:eastAsia="Arial" w:hAnsi="Arial"/>
          <w:sz w:val="14"/>
          <w:szCs w:val="14"/>
          <w:b w:val="1"/>
          <w:bCs w:val="1"/>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right="140"/>
        <w:spacing w:after="0" w:line="319" w:lineRule="auto"/>
        <w:rPr>
          <w:sz w:val="20"/>
          <w:szCs w:val="20"/>
          <w:color w:val="auto"/>
        </w:rPr>
      </w:pPr>
      <w:r>
        <w:rPr>
          <w:rFonts w:ascii="Arial" w:cs="Arial" w:eastAsia="Arial" w:hAnsi="Arial"/>
          <w:sz w:val="16"/>
          <w:szCs w:val="16"/>
          <w:color w:val="auto"/>
        </w:rPr>
        <w:t>If some or all of the services agreements with NAVER, LY or their respective subsidiaries are terminated, including, in certain cases, without cause by NAVER, LY or their respective subsidiaries, we may not be able to bring the services and functions covered thereby in-house and, even if we are able to do so, we may need to continue to rely on third parties for all or part of these functions.</w:t>
      </w:r>
    </w:p>
    <w:p>
      <w:pPr>
        <w:spacing w:after="0" w:line="103" w:lineRule="exact"/>
        <w:rPr>
          <w:sz w:val="20"/>
          <w:szCs w:val="20"/>
          <w:color w:val="auto"/>
        </w:rPr>
      </w:pPr>
    </w:p>
    <w:p>
      <w:pPr>
        <w:ind w:right="60"/>
        <w:spacing w:after="0" w:line="319" w:lineRule="auto"/>
        <w:rPr>
          <w:sz w:val="20"/>
          <w:szCs w:val="20"/>
          <w:color w:val="auto"/>
        </w:rPr>
      </w:pPr>
      <w:r>
        <w:rPr>
          <w:rFonts w:ascii="Arial" w:cs="Arial" w:eastAsia="Arial" w:hAnsi="Arial"/>
          <w:sz w:val="16"/>
          <w:szCs w:val="16"/>
          <w:color w:val="auto"/>
        </w:rPr>
        <w:t>We have leased certain office spaces from NAVER since September 2024. Prior to such lease, we have leased certain other office spaces from NAVER since March 2022. Operating lease expenses from the lease and related lease obligations from the lease were $4.3 million during the year ended December 31, 2025, and the related lease obligations was $10.6 million as of December 31, 2025.</w:t>
      </w:r>
    </w:p>
    <w:p>
      <w:pPr>
        <w:spacing w:after="0" w:line="117" w:lineRule="exact"/>
        <w:rPr>
          <w:sz w:val="20"/>
          <w:szCs w:val="20"/>
          <w:color w:val="auto"/>
        </w:rPr>
      </w:pPr>
    </w:p>
    <w:p>
      <w:pPr>
        <w:ind w:right="180"/>
        <w:spacing w:after="0" w:line="310" w:lineRule="auto"/>
        <w:rPr>
          <w:sz w:val="20"/>
          <w:szCs w:val="20"/>
          <w:color w:val="auto"/>
        </w:rPr>
      </w:pPr>
      <w:r>
        <w:rPr>
          <w:rFonts w:ascii="Arial" w:cs="Arial" w:eastAsia="Arial" w:hAnsi="Arial"/>
          <w:sz w:val="16"/>
          <w:szCs w:val="16"/>
          <w:color w:val="auto"/>
        </w:rPr>
        <w:t>We also subleased certain portions of the premises located at Suite 220 on the second (2nd) floor of 5700 Wilshire Boulevard, Los Angeles, California that we rented from a third-party landlord to NAVER U.Hub Inc., a subsidiary of NAVER, for a monthly rent of $19,004.10 through June 2025 and $19,641.49 beginning in July 2025.</w:t>
      </w:r>
    </w:p>
    <w:p>
      <w:pPr>
        <w:spacing w:after="0" w:line="124"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We believe that all such intercompany service agreements and property leases have been entered into in the ordinary course of business and have been conducted on an arm’s-length basis. During the year ended December 31, 2025, we earned revenue of approximately $74.3 million from such agreements with such entities. During the year ended December 31, 2025, we recognized costs of approximately $111.3 million, and expenses of approximately $21.9 million for such services provided by such entities.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Loans</w:t>
      </w:r>
    </w:p>
    <w:p>
      <w:pPr>
        <w:spacing w:after="0" w:line="154"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In February 2023, NAVER WEBTOON loaned approximately 15 billion Korean Won to NAVER WEBTOON COMPANY Corporation, a subsidiary of NAVER. The loan bore an interest rate of 5.26%. During the three months ended March 31, 2025, the loan was extended for an additional one year with a fixed interest rate of 4.6%. As of December 31, 2025, full principal amount of such loan remained outstanding, and during the year ended December 31, 2025, NAVER WEBTOON recognized interest income of approximately 690 million Korean Won in respect of such loan.</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Directors and Senior Management</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Mr. Haejin Lee, who currently serves as a director of our Board, also serves as an executive officer and chair of the board of NAVER.</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Mr. Namsun Kim, who currently serves as a director of our Board, also serves as an executive officer of NAVER.</w:t>
      </w:r>
    </w:p>
    <w:p>
      <w:pPr>
        <w:spacing w:after="0" w:line="194" w:lineRule="exact"/>
        <w:rPr>
          <w:sz w:val="20"/>
          <w:szCs w:val="20"/>
          <w:color w:val="auto"/>
        </w:rPr>
      </w:pPr>
    </w:p>
    <w:p>
      <w:pPr>
        <w:ind w:right="60"/>
        <w:spacing w:after="0" w:line="339" w:lineRule="auto"/>
        <w:rPr>
          <w:sz w:val="20"/>
          <w:szCs w:val="20"/>
          <w:color w:val="auto"/>
        </w:rPr>
      </w:pPr>
      <w:r>
        <w:rPr>
          <w:rFonts w:ascii="Arial" w:cs="Arial" w:eastAsia="Arial" w:hAnsi="Arial"/>
          <w:sz w:val="16"/>
          <w:szCs w:val="16"/>
          <w:color w:val="auto"/>
        </w:rPr>
        <w:t>Mr. Jun Masuda, who currently serves as a director of our Board, also serves as an executive officer of LY Corporation and as an outside director of Demae-can Co., Ltd., an affiliate of LY Corporation.</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Stockholder Agreements</w:t>
      </w:r>
    </w:p>
    <w:p>
      <w:pPr>
        <w:spacing w:after="0" w:line="154" w:lineRule="exact"/>
        <w:rPr>
          <w:sz w:val="20"/>
          <w:szCs w:val="20"/>
          <w:color w:val="auto"/>
        </w:rPr>
      </w:pPr>
    </w:p>
    <w:p>
      <w:pPr>
        <w:ind w:right="80"/>
        <w:spacing w:after="0" w:line="310" w:lineRule="auto"/>
        <w:rPr>
          <w:sz w:val="20"/>
          <w:szCs w:val="20"/>
          <w:color w:val="auto"/>
        </w:rPr>
      </w:pPr>
      <w:r>
        <w:rPr>
          <w:rFonts w:ascii="Arial" w:cs="Arial" w:eastAsia="Arial" w:hAnsi="Arial"/>
          <w:sz w:val="16"/>
          <w:szCs w:val="16"/>
          <w:color w:val="auto"/>
        </w:rPr>
        <w:t>In connection with the consummation of our IPO, we entered into separate Stockholder Agreements with NAVER and LY Corporation that provides each of them with certain rights with respect to the designation of directors to serve on the Board. See “Board of Directors and Corporate Governance—Stockholder Agreements.”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Registration Rights Agreement</w:t>
      </w:r>
    </w:p>
    <w:p>
      <w:pPr>
        <w:spacing w:after="0" w:line="154" w:lineRule="exact"/>
        <w:rPr>
          <w:sz w:val="20"/>
          <w:szCs w:val="20"/>
          <w:color w:val="auto"/>
        </w:rPr>
      </w:pPr>
    </w:p>
    <w:p>
      <w:pPr>
        <w:ind w:right="40"/>
        <w:spacing w:after="0" w:line="304" w:lineRule="auto"/>
        <w:rPr>
          <w:sz w:val="20"/>
          <w:szCs w:val="20"/>
          <w:color w:val="auto"/>
        </w:rPr>
      </w:pPr>
      <w:r>
        <w:rPr>
          <w:rFonts w:ascii="Arial" w:cs="Arial" w:eastAsia="Arial" w:hAnsi="Arial"/>
          <w:sz w:val="16"/>
          <w:szCs w:val="16"/>
          <w:color w:val="auto"/>
        </w:rPr>
        <w:t>In connection with the consummation of our IPO, we entered into a registration rights agreement with NAVER, LY Corporation and certain other stockholders granting them registration rights. Under the registration rights agreement, we agree to register the sale of shares of our common stock held by NAVER, LY Corporation and certain other stockholders under certain circumstances, and to provide such stockholders with certain customary underwritten offering, block trade and piggyback rights. These registration rights will be subject to certain conditions and limitations. We will generally be obligated to pay all registration expenses in connection with these registration obligations, regardless of whether a registration statement is filed or becomes 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306070</wp:posOffset>
            </wp:positionV>
            <wp:extent cx="282575" cy="2743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82575"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280" w:type="dxa"/>
            <w:vAlign w:val="bottom"/>
          </w:tcPr>
          <w:p>
            <w:pPr>
              <w:ind w:left="20"/>
              <w:spacing w:after="0"/>
              <w:rPr>
                <w:sz w:val="20"/>
                <w:szCs w:val="20"/>
                <w:color w:val="auto"/>
              </w:rPr>
            </w:pPr>
            <w:r>
              <w:rPr>
                <w:rFonts w:ascii="Arial" w:cs="Arial" w:eastAsia="Arial" w:hAnsi="Arial"/>
                <w:sz w:val="14"/>
                <w:szCs w:val="14"/>
                <w:b w:val="1"/>
                <w:bCs w:val="1"/>
                <w:color w:val="auto"/>
              </w:rPr>
              <w:t>2026 Proxy Statement</w:t>
            </w:r>
          </w:p>
        </w:tc>
        <w:tc>
          <w:tcPr>
            <w:tcW w:w="4960" w:type="dxa"/>
            <w:vAlign w:val="bottom"/>
          </w:tcPr>
          <w:p>
            <w:pPr>
              <w:jc w:val="right"/>
              <w:spacing w:after="0"/>
              <w:rPr>
                <w:sz w:val="20"/>
                <w:szCs w:val="20"/>
                <w:color w:val="auto"/>
              </w:rPr>
            </w:pPr>
            <w:r>
              <w:rPr>
                <w:rFonts w:ascii="Arial" w:cs="Arial" w:eastAsia="Arial" w:hAnsi="Arial"/>
                <w:sz w:val="14"/>
                <w:szCs w:val="14"/>
                <w:b w:val="1"/>
                <w:bCs w:val="1"/>
                <w:color w:val="auto"/>
              </w:rPr>
              <w:t>47</w:t>
            </w:r>
          </w:p>
        </w:tc>
      </w:tr>
      <w:tr>
        <w:trPr>
          <w:trHeight w:val="360"/>
        </w:trPr>
        <w:tc>
          <w:tcPr>
            <w:tcW w:w="6280" w:type="dxa"/>
            <w:vAlign w:val="bottom"/>
            <w:tcBorders>
              <w:bottom w:val="single" w:sz="8" w:color="9A9A9A"/>
            </w:tcBorders>
          </w:tcPr>
          <w:p>
            <w:pPr>
              <w:spacing w:after="0"/>
              <w:rPr>
                <w:sz w:val="24"/>
                <w:szCs w:val="24"/>
                <w:color w:val="auto"/>
              </w:rPr>
            </w:pPr>
          </w:p>
        </w:tc>
        <w:tc>
          <w:tcPr>
            <w:tcW w:w="4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Limitation of Liability and Indemnification of Officers and Directors</w:t>
      </w:r>
    </w:p>
    <w:p>
      <w:pPr>
        <w:spacing w:after="0" w:line="154" w:lineRule="exact"/>
        <w:rPr>
          <w:sz w:val="20"/>
          <w:szCs w:val="20"/>
          <w:color w:val="auto"/>
        </w:rPr>
      </w:pPr>
    </w:p>
    <w:p>
      <w:pPr>
        <w:spacing w:after="0" w:line="299" w:lineRule="auto"/>
        <w:rPr>
          <w:sz w:val="20"/>
          <w:szCs w:val="20"/>
          <w:color w:val="auto"/>
        </w:rPr>
      </w:pPr>
      <w:r>
        <w:rPr>
          <w:rFonts w:ascii="Arial" w:cs="Arial" w:eastAsia="Arial" w:hAnsi="Arial"/>
          <w:sz w:val="16"/>
          <w:szCs w:val="16"/>
          <w:color w:val="auto"/>
        </w:rPr>
        <w:t>Our Certificate of Incorporation provides that to the fullest extent permitted by the DGCL, each of our directors and officers shall not be personally liable to us or our stockholders for monetary damages for breach of fiduciary duty owed to us or our stockholders. Also, our Bylaws provides that we shall, subject to certain exceptions, indemnify and hold harmless, to the fullest extent permitted by applicable law as it presently exists or may hereafter be amended, any person (a “Covered Person”) who was or is made or is threatened to be made a party or is otherwise involved in any action, suit or proceeding, whether civil, criminal, administrative or investigative (a “Proceeding”), by reason of the fact that he or she, or a person for whom he or she is the legal representative, is or was our director or officer or, while our director or officer, is or was serving at our request as a director, officer, employee or agent of another corporation or of a partnership, joint venture, trust, enterprise or nonprofit entity, including service with respect to employee benefit plans, against all liability and loss suffered and expenses reasonably incurred by such Covered Person. We have entered into customary indemnification agreements with each of our executive officers and directors that provide them, in general, with customary indemnification in connection with their service to us or on our behalf.</w:t>
      </w:r>
    </w:p>
    <w:p>
      <w:pPr>
        <w:spacing w:after="0" w:line="200" w:lineRule="exact"/>
        <w:rPr>
          <w:sz w:val="20"/>
          <w:szCs w:val="20"/>
          <w:color w:val="auto"/>
        </w:rPr>
      </w:pPr>
    </w:p>
    <w:p>
      <w:pPr>
        <w:spacing w:after="0" w:line="259" w:lineRule="exact"/>
        <w:rPr>
          <w:sz w:val="20"/>
          <w:szCs w:val="20"/>
          <w:color w:val="auto"/>
        </w:rPr>
      </w:pPr>
    </w:p>
    <w:p>
      <w:pPr>
        <w:ind w:left="20"/>
        <w:spacing w:after="0"/>
        <w:tabs>
          <w:tab w:leader="none" w:pos="5360" w:val="left"/>
        </w:tabs>
        <w:rPr>
          <w:sz w:val="20"/>
          <w:szCs w:val="20"/>
          <w:color w:val="auto"/>
        </w:rPr>
      </w:pPr>
      <w:r>
        <w:rPr>
          <w:rFonts w:ascii="Arial" w:cs="Arial" w:eastAsia="Arial" w:hAnsi="Arial"/>
          <w:sz w:val="14"/>
          <w:szCs w:val="14"/>
          <w:b w:val="1"/>
          <w:bCs w:val="1"/>
          <w:color w:val="auto"/>
        </w:rPr>
        <w:t>48</w:t>
      </w:r>
      <w:r>
        <w:rPr>
          <w:sz w:val="20"/>
          <w:szCs w:val="20"/>
          <w:color w:val="auto"/>
        </w:rPr>
        <w:tab/>
      </w:r>
      <w:r>
        <w:rPr>
          <w:sz w:val="1"/>
          <w:szCs w:val="1"/>
          <w:color w:val="auto"/>
        </w:rPr>
        <w:drawing>
          <wp:inline distT="0" distB="0" distL="0" distR="0">
            <wp:extent cx="282575" cy="274320"/>
            <wp:effectExtent l="0" t="0" r="0" b="0"/>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82575" cy="274320"/>
                    </a:xfrm>
                    <a:prstGeom prst="rect">
                      <a:avLst/>
                    </a:prstGeom>
                    <a:noFill/>
                    <a:ln>
                      <a:noFill/>
                    </a:ln>
                  </pic:spPr>
                </pic:pic>
              </a:graphicData>
            </a:graphic>
          </wp:inline>
        </w:drawing>
      </w:r>
      <w:r>
        <w:rPr>
          <w:rFonts w:ascii="Arial" w:cs="Arial" w:eastAsia="Arial" w:hAnsi="Arial"/>
          <w:sz w:val="14"/>
          <w:szCs w:val="14"/>
          <w:b w:val="1"/>
          <w:bCs w:val="1"/>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54"/>
          <w:szCs w:val="54"/>
          <w:b w:val="1"/>
          <w:bCs w:val="1"/>
          <w:color w:val="00DC64"/>
        </w:rPr>
        <w:t>Equity Compensation Plan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right="260"/>
        <w:spacing w:after="0" w:line="321" w:lineRule="auto"/>
        <w:rPr>
          <w:sz w:val="20"/>
          <w:szCs w:val="20"/>
          <w:color w:val="auto"/>
        </w:rPr>
      </w:pPr>
      <w:r>
        <w:rPr>
          <w:rFonts w:ascii="Arial" w:cs="Arial" w:eastAsia="Arial" w:hAnsi="Arial"/>
          <w:sz w:val="16"/>
          <w:szCs w:val="16"/>
          <w:color w:val="auto"/>
        </w:rPr>
        <w:t>The following table provides certain information with respect to all compensation plans under which our equity securities are authorized for issuance as of December 31, 2025.</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640" w:type="dxa"/>
            <w:vAlign w:val="bottom"/>
          </w:tcPr>
          <w:p>
            <w:pPr>
              <w:spacing w:after="0"/>
              <w:rPr>
                <w:sz w:val="15"/>
                <w:szCs w:val="15"/>
                <w:color w:val="auto"/>
              </w:rPr>
            </w:pPr>
          </w:p>
        </w:tc>
        <w:tc>
          <w:tcPr>
            <w:tcW w:w="2720" w:type="dxa"/>
            <w:vAlign w:val="bottom"/>
          </w:tcPr>
          <w:p>
            <w:pPr>
              <w:jc w:val="right"/>
              <w:ind w:right="148"/>
              <w:spacing w:after="0"/>
              <w:rPr>
                <w:sz w:val="20"/>
                <w:szCs w:val="20"/>
                <w:color w:val="auto"/>
              </w:rPr>
            </w:pPr>
            <w:r>
              <w:rPr>
                <w:rFonts w:ascii="Arial" w:cs="Arial" w:eastAsia="Arial" w:hAnsi="Arial"/>
                <w:sz w:val="14"/>
                <w:szCs w:val="14"/>
                <w:b w:val="1"/>
                <w:bCs w:val="1"/>
                <w:color w:val="auto"/>
              </w:rPr>
              <w:t>Number of Securities to be</w:t>
            </w:r>
          </w:p>
        </w:tc>
        <w:tc>
          <w:tcPr>
            <w:tcW w:w="1920" w:type="dxa"/>
            <w:vAlign w:val="bottom"/>
          </w:tcPr>
          <w:p>
            <w:pPr>
              <w:jc w:val="right"/>
              <w:ind w:right="208"/>
              <w:spacing w:after="0"/>
              <w:rPr>
                <w:sz w:val="20"/>
                <w:szCs w:val="20"/>
                <w:color w:val="auto"/>
              </w:rPr>
            </w:pPr>
            <w:r>
              <w:rPr>
                <w:rFonts w:ascii="Arial" w:cs="Arial" w:eastAsia="Arial" w:hAnsi="Arial"/>
                <w:sz w:val="14"/>
                <w:szCs w:val="14"/>
                <w:b w:val="1"/>
                <w:bCs w:val="1"/>
                <w:color w:val="auto"/>
              </w:rPr>
              <w:t>Weighted average</w:t>
            </w:r>
          </w:p>
        </w:tc>
        <w:tc>
          <w:tcPr>
            <w:tcW w:w="1960" w:type="dxa"/>
            <w:vAlign w:val="bottom"/>
          </w:tcPr>
          <w:p>
            <w:pPr>
              <w:jc w:val="right"/>
              <w:ind w:right="88"/>
              <w:spacing w:after="0"/>
              <w:rPr>
                <w:sz w:val="20"/>
                <w:szCs w:val="20"/>
                <w:color w:val="auto"/>
              </w:rPr>
            </w:pPr>
            <w:r>
              <w:rPr>
                <w:rFonts w:ascii="Arial" w:cs="Arial" w:eastAsia="Arial" w:hAnsi="Arial"/>
                <w:sz w:val="14"/>
                <w:szCs w:val="14"/>
                <w:b w:val="1"/>
                <w:bCs w:val="1"/>
                <w:color w:val="auto"/>
              </w:rPr>
              <w:t>Number of Securities</w:t>
            </w:r>
          </w:p>
        </w:tc>
      </w:tr>
      <w:tr>
        <w:trPr>
          <w:trHeight w:val="176"/>
        </w:trPr>
        <w:tc>
          <w:tcPr>
            <w:tcW w:w="4640" w:type="dxa"/>
            <w:vAlign w:val="bottom"/>
          </w:tcPr>
          <w:p>
            <w:pPr>
              <w:spacing w:after="0"/>
              <w:rPr>
                <w:sz w:val="15"/>
                <w:szCs w:val="15"/>
                <w:color w:val="auto"/>
              </w:rPr>
            </w:pPr>
          </w:p>
        </w:tc>
        <w:tc>
          <w:tcPr>
            <w:tcW w:w="2720" w:type="dxa"/>
            <w:vAlign w:val="bottom"/>
          </w:tcPr>
          <w:p>
            <w:pPr>
              <w:jc w:val="right"/>
              <w:ind w:right="148"/>
              <w:spacing w:after="0"/>
              <w:rPr>
                <w:sz w:val="20"/>
                <w:szCs w:val="20"/>
                <w:color w:val="auto"/>
              </w:rPr>
            </w:pPr>
            <w:r>
              <w:rPr>
                <w:rFonts w:ascii="Arial" w:cs="Arial" w:eastAsia="Arial" w:hAnsi="Arial"/>
                <w:sz w:val="14"/>
                <w:szCs w:val="14"/>
                <w:b w:val="1"/>
                <w:bCs w:val="1"/>
                <w:color w:val="auto"/>
              </w:rPr>
              <w:t>issued upon exercise of</w:t>
            </w:r>
          </w:p>
        </w:tc>
        <w:tc>
          <w:tcPr>
            <w:tcW w:w="3880" w:type="dxa"/>
            <w:vAlign w:val="bottom"/>
            <w:gridSpan w:val="2"/>
          </w:tcPr>
          <w:p>
            <w:pPr>
              <w:jc w:val="right"/>
              <w:ind w:right="88"/>
              <w:spacing w:after="0"/>
              <w:rPr>
                <w:sz w:val="20"/>
                <w:szCs w:val="20"/>
                <w:color w:val="auto"/>
              </w:rPr>
            </w:pPr>
            <w:r>
              <w:rPr>
                <w:rFonts w:ascii="Arial" w:cs="Arial" w:eastAsia="Arial" w:hAnsi="Arial"/>
                <w:sz w:val="14"/>
                <w:szCs w:val="14"/>
                <w:b w:val="1"/>
                <w:bCs w:val="1"/>
                <w:color w:val="auto"/>
              </w:rPr>
              <w:t>exercise price of remaining available for future</w:t>
            </w:r>
          </w:p>
        </w:tc>
      </w:tr>
      <w:tr>
        <w:trPr>
          <w:trHeight w:val="176"/>
        </w:trPr>
        <w:tc>
          <w:tcPr>
            <w:tcW w:w="4640" w:type="dxa"/>
            <w:vAlign w:val="bottom"/>
          </w:tcPr>
          <w:p>
            <w:pPr>
              <w:spacing w:after="0"/>
              <w:rPr>
                <w:sz w:val="15"/>
                <w:szCs w:val="15"/>
                <w:color w:val="auto"/>
              </w:rPr>
            </w:pPr>
          </w:p>
        </w:tc>
        <w:tc>
          <w:tcPr>
            <w:tcW w:w="2720" w:type="dxa"/>
            <w:vAlign w:val="bottom"/>
          </w:tcPr>
          <w:p>
            <w:pPr>
              <w:jc w:val="right"/>
              <w:ind w:right="148"/>
              <w:spacing w:after="0"/>
              <w:rPr>
                <w:sz w:val="20"/>
                <w:szCs w:val="20"/>
                <w:color w:val="auto"/>
              </w:rPr>
            </w:pPr>
            <w:r>
              <w:rPr>
                <w:rFonts w:ascii="Arial" w:cs="Arial" w:eastAsia="Arial" w:hAnsi="Arial"/>
                <w:sz w:val="14"/>
                <w:szCs w:val="14"/>
                <w:b w:val="1"/>
                <w:bCs w:val="1"/>
                <w:color w:val="auto"/>
              </w:rPr>
              <w:t>outstanding options,</w:t>
            </w:r>
          </w:p>
        </w:tc>
        <w:tc>
          <w:tcPr>
            <w:tcW w:w="1920" w:type="dxa"/>
            <w:vAlign w:val="bottom"/>
          </w:tcPr>
          <w:p>
            <w:pPr>
              <w:jc w:val="right"/>
              <w:ind w:right="208"/>
              <w:spacing w:after="0"/>
              <w:rPr>
                <w:sz w:val="20"/>
                <w:szCs w:val="20"/>
                <w:color w:val="auto"/>
              </w:rPr>
            </w:pPr>
            <w:r>
              <w:rPr>
                <w:rFonts w:ascii="Arial" w:cs="Arial" w:eastAsia="Arial" w:hAnsi="Arial"/>
                <w:sz w:val="14"/>
                <w:szCs w:val="14"/>
                <w:b w:val="1"/>
                <w:bCs w:val="1"/>
                <w:color w:val="auto"/>
              </w:rPr>
              <w:t>outstanding options,</w:t>
            </w:r>
          </w:p>
        </w:tc>
        <w:tc>
          <w:tcPr>
            <w:tcW w:w="1960" w:type="dxa"/>
            <w:vAlign w:val="bottom"/>
          </w:tcPr>
          <w:p>
            <w:pPr>
              <w:jc w:val="right"/>
              <w:ind w:right="88"/>
              <w:spacing w:after="0"/>
              <w:rPr>
                <w:sz w:val="20"/>
                <w:szCs w:val="20"/>
                <w:color w:val="auto"/>
              </w:rPr>
            </w:pPr>
            <w:r>
              <w:rPr>
                <w:rFonts w:ascii="Arial" w:cs="Arial" w:eastAsia="Arial" w:hAnsi="Arial"/>
                <w:sz w:val="14"/>
                <w:szCs w:val="14"/>
                <w:b w:val="1"/>
                <w:bCs w:val="1"/>
                <w:color w:val="auto"/>
              </w:rPr>
              <w:t>issuance under equity</w:t>
            </w:r>
          </w:p>
        </w:tc>
      </w:tr>
      <w:tr>
        <w:trPr>
          <w:trHeight w:val="196"/>
        </w:trPr>
        <w:tc>
          <w:tcPr>
            <w:tcW w:w="4640" w:type="dxa"/>
            <w:vAlign w:val="bottom"/>
          </w:tcPr>
          <w:p>
            <w:pPr>
              <w:spacing w:after="0"/>
              <w:rPr>
                <w:sz w:val="17"/>
                <w:szCs w:val="17"/>
                <w:color w:val="auto"/>
              </w:rPr>
            </w:pPr>
          </w:p>
        </w:tc>
        <w:tc>
          <w:tcPr>
            <w:tcW w:w="2720" w:type="dxa"/>
            <w:vAlign w:val="bottom"/>
          </w:tcPr>
          <w:p>
            <w:pPr>
              <w:jc w:val="right"/>
              <w:ind w:right="148"/>
              <w:spacing w:after="0"/>
              <w:rPr>
                <w:sz w:val="20"/>
                <w:szCs w:val="20"/>
                <w:color w:val="auto"/>
              </w:rPr>
            </w:pPr>
            <w:r>
              <w:rPr>
                <w:rFonts w:ascii="Arial" w:cs="Arial" w:eastAsia="Arial" w:hAnsi="Arial"/>
                <w:sz w:val="14"/>
                <w:szCs w:val="14"/>
                <w:b w:val="1"/>
                <w:bCs w:val="1"/>
                <w:color w:val="auto"/>
              </w:rPr>
              <w:t>warrants and rights</w:t>
            </w:r>
          </w:p>
        </w:tc>
        <w:tc>
          <w:tcPr>
            <w:tcW w:w="1920" w:type="dxa"/>
            <w:vAlign w:val="bottom"/>
          </w:tcPr>
          <w:p>
            <w:pPr>
              <w:jc w:val="right"/>
              <w:ind w:right="208"/>
              <w:spacing w:after="0"/>
              <w:rPr>
                <w:sz w:val="20"/>
                <w:szCs w:val="20"/>
                <w:color w:val="auto"/>
              </w:rPr>
            </w:pPr>
            <w:r>
              <w:rPr>
                <w:rFonts w:ascii="Arial" w:cs="Arial" w:eastAsia="Arial" w:hAnsi="Arial"/>
                <w:sz w:val="14"/>
                <w:szCs w:val="14"/>
                <w:b w:val="1"/>
                <w:bCs w:val="1"/>
                <w:color w:val="auto"/>
              </w:rPr>
              <w:t>warrants and rights</w:t>
            </w:r>
          </w:p>
        </w:tc>
        <w:tc>
          <w:tcPr>
            <w:tcW w:w="1960" w:type="dxa"/>
            <w:vAlign w:val="bottom"/>
          </w:tcPr>
          <w:p>
            <w:pPr>
              <w:jc w:val="right"/>
              <w:ind w:right="88"/>
              <w:spacing w:after="0"/>
              <w:rPr>
                <w:sz w:val="20"/>
                <w:szCs w:val="20"/>
                <w:color w:val="auto"/>
              </w:rPr>
            </w:pPr>
            <w:r>
              <w:rPr>
                <w:rFonts w:ascii="Arial" w:cs="Arial" w:eastAsia="Arial" w:hAnsi="Arial"/>
                <w:sz w:val="14"/>
                <w:szCs w:val="14"/>
                <w:b w:val="1"/>
                <w:bCs w:val="1"/>
                <w:color w:val="auto"/>
              </w:rPr>
              <w:t>compensation plans</w:t>
            </w:r>
          </w:p>
        </w:tc>
      </w:tr>
      <w:tr>
        <w:trPr>
          <w:trHeight w:val="97"/>
        </w:trPr>
        <w:tc>
          <w:tcPr>
            <w:tcW w:w="4640" w:type="dxa"/>
            <w:vAlign w:val="bottom"/>
          </w:tcPr>
          <w:p>
            <w:pPr>
              <w:spacing w:after="0"/>
              <w:rPr>
                <w:sz w:val="8"/>
                <w:szCs w:val="8"/>
                <w:color w:val="auto"/>
              </w:rPr>
            </w:pPr>
          </w:p>
        </w:tc>
        <w:tc>
          <w:tcPr>
            <w:tcW w:w="2720" w:type="dxa"/>
            <w:vAlign w:val="bottom"/>
          </w:tcPr>
          <w:p>
            <w:pPr>
              <w:spacing w:after="0"/>
              <w:rPr>
                <w:sz w:val="8"/>
                <w:szCs w:val="8"/>
                <w:color w:val="auto"/>
              </w:rPr>
            </w:pPr>
          </w:p>
        </w:tc>
        <w:tc>
          <w:tcPr>
            <w:tcW w:w="1920" w:type="dxa"/>
            <w:vAlign w:val="bottom"/>
          </w:tcPr>
          <w:p>
            <w:pPr>
              <w:spacing w:after="0"/>
              <w:rPr>
                <w:sz w:val="8"/>
                <w:szCs w:val="8"/>
                <w:color w:val="auto"/>
              </w:rPr>
            </w:pPr>
          </w:p>
        </w:tc>
        <w:tc>
          <w:tcPr>
            <w:tcW w:w="1960" w:type="dxa"/>
            <w:vAlign w:val="bottom"/>
          </w:tcPr>
          <w:p>
            <w:pPr>
              <w:spacing w:after="0"/>
              <w:rPr>
                <w:sz w:val="8"/>
                <w:szCs w:val="8"/>
                <w:color w:val="auto"/>
              </w:rPr>
            </w:pPr>
          </w:p>
        </w:tc>
      </w:tr>
      <w:tr>
        <w:trPr>
          <w:trHeight w:val="210"/>
        </w:trPr>
        <w:tc>
          <w:tcPr>
            <w:tcW w:w="4640" w:type="dxa"/>
            <w:vAlign w:val="bottom"/>
            <w:tcBorders>
              <w:bottom w:val="single" w:sz="8" w:color="F1F2F2"/>
            </w:tcBorders>
            <w:shd w:val="clear" w:color="auto" w:fill="F1F2F2"/>
          </w:tcPr>
          <w:p>
            <w:pPr>
              <w:ind w:left="100"/>
              <w:spacing w:after="0"/>
              <w:rPr>
                <w:sz w:val="20"/>
                <w:szCs w:val="20"/>
                <w:color w:val="auto"/>
              </w:rPr>
            </w:pPr>
            <w:r>
              <w:rPr>
                <w:rFonts w:ascii="Arial" w:cs="Arial" w:eastAsia="Arial" w:hAnsi="Arial"/>
                <w:sz w:val="14"/>
                <w:szCs w:val="14"/>
                <w:color w:val="auto"/>
              </w:rPr>
              <w:t>Equity compensation plans approved by security holders</w:t>
            </w:r>
            <w:r>
              <w:rPr>
                <w:rFonts w:ascii="Arial" w:cs="Arial" w:eastAsia="Arial" w:hAnsi="Arial"/>
                <w:sz w:val="9"/>
                <w:szCs w:val="9"/>
                <w:color w:val="auto"/>
              </w:rPr>
              <w:t>(1)</w:t>
            </w:r>
          </w:p>
        </w:tc>
        <w:tc>
          <w:tcPr>
            <w:tcW w:w="2720" w:type="dxa"/>
            <w:vAlign w:val="bottom"/>
            <w:tcBorders>
              <w:bottom w:val="single" w:sz="8" w:color="F1F2F2"/>
            </w:tcBorders>
            <w:shd w:val="clear" w:color="auto" w:fill="F1F2F2"/>
          </w:tcPr>
          <w:p>
            <w:pPr>
              <w:jc w:val="right"/>
              <w:ind w:right="148"/>
              <w:spacing w:after="0"/>
              <w:rPr>
                <w:sz w:val="20"/>
                <w:szCs w:val="20"/>
                <w:color w:val="auto"/>
              </w:rPr>
            </w:pPr>
            <w:r>
              <w:rPr>
                <w:rFonts w:ascii="Arial" w:cs="Arial" w:eastAsia="Arial" w:hAnsi="Arial"/>
                <w:sz w:val="14"/>
                <w:szCs w:val="14"/>
                <w:color w:val="auto"/>
              </w:rPr>
              <w:t>13,876,361</w:t>
            </w:r>
            <w:r>
              <w:rPr>
                <w:rFonts w:ascii="Arial" w:cs="Arial" w:eastAsia="Arial" w:hAnsi="Arial"/>
                <w:sz w:val="9"/>
                <w:szCs w:val="9"/>
                <w:color w:val="auto"/>
              </w:rPr>
              <w:t>(2)</w:t>
            </w:r>
          </w:p>
        </w:tc>
        <w:tc>
          <w:tcPr>
            <w:tcW w:w="1920" w:type="dxa"/>
            <w:vAlign w:val="bottom"/>
            <w:tcBorders>
              <w:bottom w:val="single" w:sz="8" w:color="F1F2F2"/>
            </w:tcBorders>
            <w:shd w:val="clear" w:color="auto" w:fill="F1F2F2"/>
          </w:tcPr>
          <w:p>
            <w:pPr>
              <w:jc w:val="right"/>
              <w:ind w:right="208"/>
              <w:spacing w:after="0"/>
              <w:rPr>
                <w:sz w:val="20"/>
                <w:szCs w:val="20"/>
                <w:color w:val="auto"/>
              </w:rPr>
            </w:pPr>
            <w:r>
              <w:rPr>
                <w:rFonts w:ascii="Arial" w:cs="Arial" w:eastAsia="Arial" w:hAnsi="Arial"/>
                <w:sz w:val="14"/>
                <w:szCs w:val="14"/>
                <w:color w:val="auto"/>
              </w:rPr>
              <w:t>$14.31</w:t>
            </w:r>
            <w:r>
              <w:rPr>
                <w:rFonts w:ascii="Arial" w:cs="Arial" w:eastAsia="Arial" w:hAnsi="Arial"/>
                <w:sz w:val="9"/>
                <w:szCs w:val="9"/>
                <w:color w:val="auto"/>
              </w:rPr>
              <w:t>(3)</w:t>
            </w:r>
          </w:p>
        </w:tc>
        <w:tc>
          <w:tcPr>
            <w:tcW w:w="1960" w:type="dxa"/>
            <w:vAlign w:val="bottom"/>
            <w:tcBorders>
              <w:bottom w:val="single" w:sz="8" w:color="F1F2F2"/>
            </w:tcBorders>
            <w:shd w:val="clear" w:color="auto" w:fill="F1F2F2"/>
          </w:tcPr>
          <w:p>
            <w:pPr>
              <w:jc w:val="right"/>
              <w:ind w:right="88"/>
              <w:spacing w:after="0"/>
              <w:rPr>
                <w:sz w:val="20"/>
                <w:szCs w:val="20"/>
                <w:color w:val="auto"/>
              </w:rPr>
            </w:pPr>
            <w:r>
              <w:rPr>
                <w:rFonts w:ascii="Arial" w:cs="Arial" w:eastAsia="Arial" w:hAnsi="Arial"/>
                <w:sz w:val="14"/>
                <w:szCs w:val="14"/>
                <w:color w:val="auto"/>
              </w:rPr>
              <w:t>14,165,005</w:t>
            </w:r>
            <w:r>
              <w:rPr>
                <w:rFonts w:ascii="Arial" w:cs="Arial" w:eastAsia="Arial" w:hAnsi="Arial"/>
                <w:sz w:val="9"/>
                <w:szCs w:val="9"/>
                <w:color w:val="auto"/>
              </w:rPr>
              <w:t>(4)(5)</w:t>
            </w:r>
          </w:p>
        </w:tc>
      </w:tr>
      <w:tr>
        <w:trPr>
          <w:trHeight w:val="208"/>
        </w:trPr>
        <w:tc>
          <w:tcPr>
            <w:tcW w:w="4640" w:type="dxa"/>
            <w:vAlign w:val="bottom"/>
          </w:tcPr>
          <w:p>
            <w:pPr>
              <w:ind w:left="100"/>
              <w:spacing w:after="0"/>
              <w:rPr>
                <w:sz w:val="20"/>
                <w:szCs w:val="20"/>
                <w:color w:val="auto"/>
              </w:rPr>
            </w:pPr>
            <w:r>
              <w:rPr>
                <w:rFonts w:ascii="Arial" w:cs="Arial" w:eastAsia="Arial" w:hAnsi="Arial"/>
                <w:sz w:val="14"/>
                <w:szCs w:val="14"/>
                <w:color w:val="auto"/>
              </w:rPr>
              <w:t>Equity compensation plans not approved by security holders</w:t>
            </w:r>
          </w:p>
        </w:tc>
        <w:tc>
          <w:tcPr>
            <w:tcW w:w="272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9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960" w:type="dxa"/>
            <w:vAlign w:val="bottom"/>
          </w:tcPr>
          <w:p>
            <w:pPr>
              <w:jc w:val="right"/>
              <w:ind w:right="148"/>
              <w:spacing w:after="0"/>
              <w:rPr>
                <w:sz w:val="20"/>
                <w:szCs w:val="20"/>
                <w:color w:val="auto"/>
              </w:rPr>
            </w:pPr>
            <w:r>
              <w:rPr>
                <w:rFonts w:ascii="Arial" w:cs="Arial" w:eastAsia="Arial" w:hAnsi="Arial"/>
                <w:sz w:val="14"/>
                <w:szCs w:val="14"/>
                <w:color w:val="auto"/>
              </w:rPr>
              <w:t>—</w:t>
            </w:r>
          </w:p>
        </w:tc>
      </w:tr>
      <w:tr>
        <w:trPr>
          <w:trHeight w:val="22"/>
        </w:trPr>
        <w:tc>
          <w:tcPr>
            <w:tcW w:w="46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223"/>
        </w:trPr>
        <w:tc>
          <w:tcPr>
            <w:tcW w:w="4640" w:type="dxa"/>
            <w:vAlign w:val="bottom"/>
            <w:tcBorders>
              <w:bottom w:val="single" w:sz="8" w:color="auto"/>
            </w:tcBorders>
            <w:shd w:val="clear" w:color="auto" w:fill="F1F2F2"/>
          </w:tcPr>
          <w:p>
            <w:pPr>
              <w:ind w:left="100"/>
              <w:spacing w:after="0"/>
              <w:rPr>
                <w:sz w:val="20"/>
                <w:szCs w:val="20"/>
                <w:color w:val="auto"/>
              </w:rPr>
            </w:pPr>
            <w:r>
              <w:rPr>
                <w:rFonts w:ascii="Arial" w:cs="Arial" w:eastAsia="Arial" w:hAnsi="Arial"/>
                <w:sz w:val="14"/>
                <w:szCs w:val="14"/>
                <w:b w:val="1"/>
                <w:bCs w:val="1"/>
                <w:color w:val="auto"/>
              </w:rPr>
              <w:t>Total</w:t>
            </w:r>
          </w:p>
        </w:tc>
        <w:tc>
          <w:tcPr>
            <w:tcW w:w="2720" w:type="dxa"/>
            <w:vAlign w:val="bottom"/>
            <w:tcBorders>
              <w:bottom w:val="single" w:sz="8" w:color="auto"/>
            </w:tcBorders>
            <w:shd w:val="clear" w:color="auto" w:fill="F1F2F2"/>
          </w:tcPr>
          <w:p>
            <w:pPr>
              <w:jc w:val="right"/>
              <w:ind w:right="188"/>
              <w:spacing w:after="0"/>
              <w:rPr>
                <w:sz w:val="20"/>
                <w:szCs w:val="20"/>
                <w:color w:val="auto"/>
              </w:rPr>
            </w:pPr>
            <w:r>
              <w:rPr>
                <w:rFonts w:ascii="Arial" w:cs="Arial" w:eastAsia="Arial" w:hAnsi="Arial"/>
                <w:sz w:val="14"/>
                <w:szCs w:val="14"/>
                <w:b w:val="1"/>
                <w:bCs w:val="1"/>
                <w:color w:val="auto"/>
              </w:rPr>
              <w:t>13,876,361</w:t>
            </w:r>
          </w:p>
        </w:tc>
        <w:tc>
          <w:tcPr>
            <w:tcW w:w="1920" w:type="dxa"/>
            <w:vAlign w:val="bottom"/>
            <w:tcBorders>
              <w:bottom w:val="single" w:sz="8" w:color="auto"/>
            </w:tcBorders>
            <w:shd w:val="clear" w:color="auto" w:fill="F1F2F2"/>
          </w:tcPr>
          <w:p>
            <w:pPr>
              <w:jc w:val="right"/>
              <w:ind w:right="208"/>
              <w:spacing w:after="0"/>
              <w:rPr>
                <w:sz w:val="20"/>
                <w:szCs w:val="20"/>
                <w:color w:val="auto"/>
              </w:rPr>
            </w:pPr>
            <w:r>
              <w:rPr>
                <w:rFonts w:ascii="Arial" w:cs="Arial" w:eastAsia="Arial" w:hAnsi="Arial"/>
                <w:sz w:val="14"/>
                <w:szCs w:val="14"/>
                <w:b w:val="1"/>
                <w:bCs w:val="1"/>
                <w:color w:val="auto"/>
              </w:rPr>
              <w:t>$14.31</w:t>
            </w:r>
          </w:p>
        </w:tc>
        <w:tc>
          <w:tcPr>
            <w:tcW w:w="1960" w:type="dxa"/>
            <w:vAlign w:val="bottom"/>
            <w:tcBorders>
              <w:bottom w:val="single" w:sz="8" w:color="auto"/>
            </w:tcBorders>
            <w:shd w:val="clear" w:color="auto" w:fill="F1F2F2"/>
          </w:tcPr>
          <w:p>
            <w:pPr>
              <w:jc w:val="right"/>
              <w:ind w:right="148"/>
              <w:spacing w:after="0"/>
              <w:rPr>
                <w:sz w:val="20"/>
                <w:szCs w:val="20"/>
                <w:color w:val="auto"/>
              </w:rPr>
            </w:pPr>
            <w:r>
              <w:rPr>
                <w:rFonts w:ascii="Arial" w:cs="Arial" w:eastAsia="Arial" w:hAnsi="Arial"/>
                <w:sz w:val="14"/>
                <w:szCs w:val="14"/>
                <w:b w:val="1"/>
                <w:bCs w:val="1"/>
                <w:color w:val="auto"/>
              </w:rPr>
              <w:t>14,165,005</w:t>
            </w:r>
          </w:p>
        </w:tc>
      </w:tr>
    </w:tbl>
    <w:p>
      <w:pPr>
        <w:spacing w:after="0" w:line="139" w:lineRule="exact"/>
        <w:rPr>
          <w:sz w:val="20"/>
          <w:szCs w:val="20"/>
          <w:color w:val="auto"/>
        </w:rPr>
      </w:pPr>
    </w:p>
    <w:p>
      <w:pPr>
        <w:ind w:left="340" w:right="280" w:hanging="332"/>
        <w:spacing w:after="0" w:line="281" w:lineRule="auto"/>
        <w:tabs>
          <w:tab w:leader="none" w:pos="338" w:val="left"/>
        </w:tabs>
        <w:numPr>
          <w:ilvl w:val="0"/>
          <w:numId w:val="37"/>
        </w:numPr>
        <w:rPr>
          <w:rFonts w:ascii="Arial" w:cs="Arial" w:eastAsia="Arial" w:hAnsi="Arial"/>
          <w:sz w:val="14"/>
          <w:szCs w:val="14"/>
          <w:color w:val="auto"/>
        </w:rPr>
      </w:pPr>
      <w:r>
        <w:rPr>
          <w:rFonts w:ascii="Arial" w:cs="Arial" w:eastAsia="Arial" w:hAnsi="Arial"/>
          <w:sz w:val="14"/>
          <w:szCs w:val="14"/>
          <w:color w:val="auto"/>
        </w:rPr>
        <w:t>Equity compensation plans approved by stockholders reflects our Prior Plans and Incentive Plan. Following the adoption of the Incentive Plan by our security holders in 2024, no new awards have been or will be made under our Prior Plans. For more information regarding these plans, see Note 11 to our audited consolidated financial statements included in our Annual Report on Form 10-K for the year ended December 31, 2025 and the copy of the plans that are attached thereto.</w:t>
      </w:r>
    </w:p>
    <w:p>
      <w:pPr>
        <w:spacing w:after="0" w:line="1" w:lineRule="exact"/>
        <w:rPr>
          <w:rFonts w:ascii="Arial" w:cs="Arial" w:eastAsia="Arial" w:hAnsi="Arial"/>
          <w:sz w:val="14"/>
          <w:szCs w:val="14"/>
          <w:color w:val="auto"/>
        </w:rPr>
      </w:pPr>
    </w:p>
    <w:p>
      <w:pPr>
        <w:ind w:left="340" w:right="260" w:hanging="332"/>
        <w:spacing w:after="0" w:line="301" w:lineRule="auto"/>
        <w:tabs>
          <w:tab w:leader="none" w:pos="338" w:val="left"/>
        </w:tabs>
        <w:numPr>
          <w:ilvl w:val="0"/>
          <w:numId w:val="37"/>
        </w:numPr>
        <w:rPr>
          <w:rFonts w:ascii="Arial" w:cs="Arial" w:eastAsia="Arial" w:hAnsi="Arial"/>
          <w:sz w:val="14"/>
          <w:szCs w:val="14"/>
          <w:color w:val="auto"/>
        </w:rPr>
      </w:pPr>
      <w:r>
        <w:rPr>
          <w:rFonts w:ascii="Arial" w:cs="Arial" w:eastAsia="Arial" w:hAnsi="Arial"/>
          <w:sz w:val="14"/>
          <w:szCs w:val="14"/>
          <w:color w:val="auto"/>
        </w:rPr>
        <w:t>Consists of (i) 10,577,848 shares of our common stock issuable upon the vesting and exercise of outstanding options under our Prior Plans and (ii) 3,298,513 shares of outstanding RSUs under our Prior Plans and Incentive Plan.</w:t>
      </w:r>
    </w:p>
    <w:p>
      <w:pPr>
        <w:spacing w:after="0" w:line="1" w:lineRule="exact"/>
        <w:rPr>
          <w:rFonts w:ascii="Arial" w:cs="Arial" w:eastAsia="Arial" w:hAnsi="Arial"/>
          <w:sz w:val="14"/>
          <w:szCs w:val="14"/>
          <w:color w:val="auto"/>
        </w:rPr>
      </w:pPr>
    </w:p>
    <w:p>
      <w:pPr>
        <w:ind w:left="340" w:right="140" w:hanging="332"/>
        <w:spacing w:after="0" w:line="291" w:lineRule="auto"/>
        <w:tabs>
          <w:tab w:leader="none" w:pos="338" w:val="left"/>
        </w:tabs>
        <w:numPr>
          <w:ilvl w:val="0"/>
          <w:numId w:val="37"/>
        </w:numPr>
        <w:rPr>
          <w:rFonts w:ascii="Arial" w:cs="Arial" w:eastAsia="Arial" w:hAnsi="Arial"/>
          <w:sz w:val="14"/>
          <w:szCs w:val="14"/>
          <w:color w:val="auto"/>
        </w:rPr>
      </w:pPr>
      <w:r>
        <w:rPr>
          <w:rFonts w:ascii="Arial" w:cs="Arial" w:eastAsia="Arial" w:hAnsi="Arial"/>
          <w:sz w:val="14"/>
          <w:szCs w:val="14"/>
          <w:color w:val="auto"/>
        </w:rPr>
        <w:t>As of December 31, 2025, the weighted average exercise price per share of our common stock of outstanding options issued under our Prior Plans was $14.31. As RSUs have no exercise price, they are excluded from the weighted average exercise price calculation.</w:t>
      </w:r>
    </w:p>
    <w:p>
      <w:pPr>
        <w:spacing w:after="0" w:line="1" w:lineRule="exact"/>
        <w:rPr>
          <w:rFonts w:ascii="Arial" w:cs="Arial" w:eastAsia="Arial" w:hAnsi="Arial"/>
          <w:sz w:val="14"/>
          <w:szCs w:val="14"/>
          <w:color w:val="auto"/>
        </w:rPr>
      </w:pPr>
    </w:p>
    <w:p>
      <w:pPr>
        <w:ind w:left="340" w:right="60" w:hanging="332"/>
        <w:spacing w:after="0" w:line="276" w:lineRule="auto"/>
        <w:tabs>
          <w:tab w:leader="none" w:pos="338"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There remain 14,165,005 shares of our common stock available for future issuance under our Incentive Plan. The number of shares authorized for issuance under the Incentive Plan is subject to an automatic annual increase on January 1 of each calendar year during the period beginning in 2025, and ending and including 2034, equal to the lesser of (i) five percent (5%) of the aggregate number of shares outstanding on December 31 of the immediately preceding calendar year, and (ii) a smaller amount determined by the Board.</w:t>
      </w:r>
    </w:p>
    <w:p>
      <w:pPr>
        <w:spacing w:after="0" w:line="15" w:lineRule="exact"/>
        <w:rPr>
          <w:rFonts w:ascii="Arial" w:cs="Arial" w:eastAsia="Arial" w:hAnsi="Arial"/>
          <w:sz w:val="14"/>
          <w:szCs w:val="14"/>
          <w:color w:val="auto"/>
        </w:rPr>
      </w:pPr>
    </w:p>
    <w:p>
      <w:pPr>
        <w:ind w:left="340" w:right="100" w:hanging="332"/>
        <w:spacing w:after="0" w:line="273" w:lineRule="auto"/>
        <w:tabs>
          <w:tab w:leader="none" w:pos="338" w:val="left"/>
        </w:tabs>
        <w:numPr>
          <w:ilvl w:val="0"/>
          <w:numId w:val="37"/>
        </w:numPr>
        <w:rPr>
          <w:rFonts w:ascii="Arial" w:cs="Arial" w:eastAsia="Arial" w:hAnsi="Arial"/>
          <w:sz w:val="14"/>
          <w:szCs w:val="14"/>
          <w:color w:val="auto"/>
        </w:rPr>
      </w:pPr>
      <w:r>
        <w:rPr>
          <w:rFonts w:ascii="Arial" w:cs="Arial" w:eastAsia="Arial" w:hAnsi="Arial"/>
          <w:sz w:val="14"/>
          <w:szCs w:val="14"/>
          <w:color w:val="auto"/>
        </w:rPr>
        <w:t>In our Annual Report on Form 10-K for the year ended December 31, 2025, we previously reported the number of shares available for future issuance under our Prior Plans and the Incentive Plan as 4,652,016 shares and 7,570,494 shares, respectively, which, due to a clerical error, were incorrect. The correct numbers are 0 shares and 14,165,005 shares,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240030</wp:posOffset>
            </wp:positionV>
            <wp:extent cx="282575" cy="2743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82575" cy="27432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280" w:type="dxa"/>
            <w:vAlign w:val="bottom"/>
          </w:tcPr>
          <w:p>
            <w:pPr>
              <w:ind w:left="20"/>
              <w:spacing w:after="0"/>
              <w:rPr>
                <w:sz w:val="20"/>
                <w:szCs w:val="20"/>
                <w:color w:val="auto"/>
              </w:rPr>
            </w:pPr>
            <w:r>
              <w:rPr>
                <w:rFonts w:ascii="Arial" w:cs="Arial" w:eastAsia="Arial" w:hAnsi="Arial"/>
                <w:sz w:val="14"/>
                <w:szCs w:val="14"/>
                <w:b w:val="1"/>
                <w:bCs w:val="1"/>
                <w:color w:val="auto"/>
              </w:rPr>
              <w:t>2026 Proxy Statement</w:t>
            </w:r>
          </w:p>
        </w:tc>
        <w:tc>
          <w:tcPr>
            <w:tcW w:w="4960" w:type="dxa"/>
            <w:vAlign w:val="bottom"/>
          </w:tcPr>
          <w:p>
            <w:pPr>
              <w:jc w:val="right"/>
              <w:spacing w:after="0"/>
              <w:rPr>
                <w:sz w:val="20"/>
                <w:szCs w:val="20"/>
                <w:color w:val="auto"/>
              </w:rPr>
            </w:pPr>
            <w:r>
              <w:rPr>
                <w:rFonts w:ascii="Arial" w:cs="Arial" w:eastAsia="Arial" w:hAnsi="Arial"/>
                <w:sz w:val="14"/>
                <w:szCs w:val="14"/>
                <w:b w:val="1"/>
                <w:bCs w:val="1"/>
                <w:color w:val="auto"/>
              </w:rPr>
              <w:t>49</w:t>
            </w:r>
          </w:p>
        </w:tc>
      </w:tr>
      <w:tr>
        <w:trPr>
          <w:trHeight w:val="373"/>
        </w:trPr>
        <w:tc>
          <w:tcPr>
            <w:tcW w:w="6280" w:type="dxa"/>
            <w:vAlign w:val="bottom"/>
            <w:tcBorders>
              <w:bottom w:val="single" w:sz="8" w:color="9A9A9A"/>
            </w:tcBorders>
          </w:tcPr>
          <w:p>
            <w:pPr>
              <w:spacing w:after="0"/>
              <w:rPr>
                <w:sz w:val="24"/>
                <w:szCs w:val="24"/>
                <w:color w:val="auto"/>
              </w:rPr>
            </w:pPr>
          </w:p>
        </w:tc>
        <w:tc>
          <w:tcPr>
            <w:tcW w:w="4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780"/>
        <w:spacing w:after="0" w:line="299" w:lineRule="auto"/>
        <w:rPr>
          <w:sz w:val="20"/>
          <w:szCs w:val="20"/>
          <w:color w:val="auto"/>
        </w:rPr>
      </w:pPr>
      <w:r>
        <w:rPr>
          <w:rFonts w:ascii="Arial" w:cs="Arial" w:eastAsia="Arial" w:hAnsi="Arial"/>
          <w:sz w:val="54"/>
          <w:szCs w:val="54"/>
          <w:b w:val="1"/>
          <w:bCs w:val="1"/>
          <w:color w:val="00DC64"/>
        </w:rPr>
        <w:t>Security Ownership of Certain Beneficial Owners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13232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information as of April 10, 2026 regarding the beneficial ownership of our common stock by:</w:t>
      </w:r>
    </w:p>
    <w:p>
      <w:pPr>
        <w:spacing w:after="0" w:line="194" w:lineRule="exact"/>
        <w:rPr>
          <w:sz w:val="20"/>
          <w:szCs w:val="20"/>
          <w:color w:val="auto"/>
        </w:rPr>
      </w:pPr>
    </w:p>
    <w:p>
      <w:pPr>
        <w:ind w:left="640" w:hanging="308"/>
        <w:spacing w:after="0"/>
        <w:tabs>
          <w:tab w:leader="none" w:pos="6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each of our named executive officers;</w:t>
      </w:r>
    </w:p>
    <w:p>
      <w:pPr>
        <w:spacing w:after="0" w:line="99" w:lineRule="exact"/>
        <w:rPr>
          <w:rFonts w:ascii="Arial" w:cs="Arial" w:eastAsia="Arial" w:hAnsi="Arial"/>
          <w:sz w:val="16"/>
          <w:szCs w:val="16"/>
          <w:color w:val="auto"/>
        </w:rPr>
      </w:pPr>
    </w:p>
    <w:p>
      <w:pPr>
        <w:ind w:left="640" w:hanging="308"/>
        <w:spacing w:after="0"/>
        <w:tabs>
          <w:tab w:leader="none" w:pos="6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each of our directors and director nominees;</w:t>
      </w:r>
    </w:p>
    <w:p>
      <w:pPr>
        <w:spacing w:after="0" w:line="99" w:lineRule="exact"/>
        <w:rPr>
          <w:rFonts w:ascii="Arial" w:cs="Arial" w:eastAsia="Arial" w:hAnsi="Arial"/>
          <w:sz w:val="16"/>
          <w:szCs w:val="16"/>
          <w:color w:val="auto"/>
        </w:rPr>
      </w:pPr>
    </w:p>
    <w:p>
      <w:pPr>
        <w:ind w:left="640" w:hanging="308"/>
        <w:spacing w:after="0"/>
        <w:tabs>
          <w:tab w:leader="none" w:pos="6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all of our directors and executive officers as a group; and</w:t>
      </w:r>
    </w:p>
    <w:p>
      <w:pPr>
        <w:spacing w:after="0" w:line="99" w:lineRule="exact"/>
        <w:rPr>
          <w:rFonts w:ascii="Arial" w:cs="Arial" w:eastAsia="Arial" w:hAnsi="Arial"/>
          <w:sz w:val="16"/>
          <w:szCs w:val="16"/>
          <w:color w:val="auto"/>
        </w:rPr>
      </w:pPr>
    </w:p>
    <w:p>
      <w:pPr>
        <w:ind w:left="640" w:hanging="308"/>
        <w:spacing w:after="0"/>
        <w:tabs>
          <w:tab w:leader="none" w:pos="6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each person or group known to us who beneficially owns more than 5% of our outstanding common stock.</w:t>
      </w:r>
    </w:p>
    <w:p>
      <w:pPr>
        <w:spacing w:after="0" w:line="208" w:lineRule="exact"/>
        <w:rPr>
          <w:sz w:val="20"/>
          <w:szCs w:val="20"/>
          <w:color w:val="auto"/>
        </w:rPr>
      </w:pPr>
    </w:p>
    <w:p>
      <w:pPr>
        <w:ind w:right="20"/>
        <w:spacing w:after="0" w:line="304" w:lineRule="auto"/>
        <w:rPr>
          <w:sz w:val="20"/>
          <w:szCs w:val="20"/>
          <w:color w:val="auto"/>
        </w:rPr>
      </w:pPr>
      <w:r>
        <w:rPr>
          <w:rFonts w:ascii="Arial" w:cs="Arial" w:eastAsia="Arial" w:hAnsi="Arial"/>
          <w:sz w:val="16"/>
          <w:szCs w:val="16"/>
          <w:color w:val="auto"/>
        </w:rPr>
        <w:t>Beneficial ownership for the purposes of the following table is determined in accordance with the rules and regulations of the SEC. Applicable percentages are based on 134,655,701 shares of common stock outstanding as of April 10, 2026. Common stock subject to restricted stock units or stock options that are currently exercisable or exercisable within 60 days of April 10, 2026 are deemed to be outstanding and beneficially owned by the person holding the restricted stock units or stock options. These shares, however, are not deemed outstanding for the purposes of computing the percentage ownership of any other person except the percentage ownership of executive officers and directors as a group.</w:t>
      </w:r>
    </w:p>
    <w:p>
      <w:pPr>
        <w:spacing w:after="0" w:line="131"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color w:val="auto"/>
        </w:rPr>
        <w:t>Except as otherwise indicated, the persons or entities listed below have sole voting and investment power with respect to all shares of our common stock beneficially owned by them, except to the extent this power may be shared with a spouse. All information with respect to beneficial ownership has been furnished by the respective directors, executive officers, or 5% or more stockholders, as the case may be. Unless otherwise noted, the mailing address of each listed beneficial owner is c/o WEBTOON Entertainment Inc., 5700 Wilshire Blvd., Suite 220, Los Angeles, CA 90036.</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080" w:type="dxa"/>
            <w:vAlign w:val="bottom"/>
          </w:tcPr>
          <w:p>
            <w:pPr>
              <w:spacing w:after="0"/>
              <w:rPr>
                <w:sz w:val="17"/>
                <w:szCs w:val="17"/>
                <w:color w:val="auto"/>
              </w:rPr>
            </w:pPr>
          </w:p>
        </w:tc>
        <w:tc>
          <w:tcPr>
            <w:tcW w:w="3380" w:type="dxa"/>
            <w:vAlign w:val="bottom"/>
            <w:tcBorders>
              <w:bottom w:val="single" w:sz="8" w:color="auto"/>
            </w:tcBorders>
            <w:gridSpan w:val="2"/>
          </w:tcPr>
          <w:p>
            <w:pPr>
              <w:jc w:val="right"/>
              <w:ind w:right="188"/>
              <w:spacing w:after="0"/>
              <w:rPr>
                <w:sz w:val="20"/>
                <w:szCs w:val="20"/>
                <w:color w:val="auto"/>
              </w:rPr>
            </w:pPr>
            <w:r>
              <w:rPr>
                <w:rFonts w:ascii="Arial" w:cs="Arial" w:eastAsia="Arial" w:hAnsi="Arial"/>
                <w:sz w:val="14"/>
                <w:szCs w:val="14"/>
                <w:b w:val="1"/>
                <w:bCs w:val="1"/>
                <w:color w:val="auto"/>
              </w:rPr>
              <w:t>Shares Beneficially Owned</w:t>
            </w:r>
          </w:p>
        </w:tc>
        <w:tc>
          <w:tcPr>
            <w:tcW w:w="1020" w:type="dxa"/>
            <w:vAlign w:val="bottom"/>
            <w:tcBorders>
              <w:bottom w:val="single" w:sz="8" w:color="auto"/>
            </w:tcBorders>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080" w:type="dxa"/>
            <w:vAlign w:val="bottom"/>
          </w:tcPr>
          <w:p>
            <w:pPr>
              <w:spacing w:after="0"/>
              <w:rPr>
                <w:sz w:val="16"/>
                <w:szCs w:val="16"/>
                <w:color w:val="auto"/>
              </w:rPr>
            </w:pPr>
          </w:p>
        </w:tc>
        <w:tc>
          <w:tcPr>
            <w:tcW w:w="150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Common</w:t>
            </w:r>
          </w:p>
        </w:tc>
        <w:tc>
          <w:tcPr>
            <w:tcW w:w="1880" w:type="dxa"/>
            <w:vAlign w:val="bottom"/>
          </w:tcPr>
          <w:p>
            <w:pPr>
              <w:jc w:val="right"/>
              <w:ind w:right="288"/>
              <w:spacing w:after="0"/>
              <w:rPr>
                <w:sz w:val="20"/>
                <w:szCs w:val="20"/>
                <w:color w:val="auto"/>
              </w:rPr>
            </w:pPr>
            <w:r>
              <w:rPr>
                <w:rFonts w:ascii="Arial" w:cs="Arial" w:eastAsia="Arial" w:hAnsi="Arial"/>
                <w:sz w:val="14"/>
                <w:szCs w:val="14"/>
                <w:b w:val="1"/>
                <w:bCs w:val="1"/>
                <w:color w:val="auto"/>
              </w:rPr>
              <w:t>Awards Vested and</w:t>
            </w:r>
          </w:p>
        </w:tc>
        <w:tc>
          <w:tcPr>
            <w:tcW w:w="10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080" w:type="dxa"/>
            <w:vAlign w:val="bottom"/>
          </w:tcPr>
          <w:p>
            <w:pPr>
              <w:spacing w:after="0"/>
              <w:rPr>
                <w:sz w:val="14"/>
                <w:szCs w:val="14"/>
                <w:color w:val="auto"/>
              </w:rPr>
            </w:pPr>
          </w:p>
        </w:tc>
        <w:tc>
          <w:tcPr>
            <w:tcW w:w="1500" w:type="dxa"/>
            <w:vAlign w:val="bottom"/>
            <w:vMerge w:val="continue"/>
          </w:tcPr>
          <w:p>
            <w:pPr>
              <w:spacing w:after="0"/>
              <w:rPr>
                <w:sz w:val="14"/>
                <w:szCs w:val="14"/>
                <w:color w:val="auto"/>
              </w:rPr>
            </w:pPr>
          </w:p>
        </w:tc>
        <w:tc>
          <w:tcPr>
            <w:tcW w:w="1880" w:type="dxa"/>
            <w:vAlign w:val="bottom"/>
          </w:tcPr>
          <w:p>
            <w:pPr>
              <w:jc w:val="right"/>
              <w:ind w:right="288"/>
              <w:spacing w:after="0"/>
              <w:rPr>
                <w:sz w:val="20"/>
                <w:szCs w:val="20"/>
                <w:color w:val="auto"/>
              </w:rPr>
            </w:pPr>
            <w:r>
              <w:rPr>
                <w:rFonts w:ascii="Arial" w:cs="Arial" w:eastAsia="Arial" w:hAnsi="Arial"/>
                <w:sz w:val="14"/>
                <w:szCs w:val="14"/>
                <w:b w:val="1"/>
                <w:bCs w:val="1"/>
                <w:color w:val="auto"/>
              </w:rPr>
              <w:t>Vesting Within 60</w:t>
            </w:r>
          </w:p>
        </w:tc>
        <w:tc>
          <w:tcPr>
            <w:tcW w:w="10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080" w:type="dxa"/>
            <w:vAlign w:val="bottom"/>
          </w:tcPr>
          <w:p>
            <w:pPr>
              <w:ind w:left="100"/>
              <w:spacing w:after="0"/>
              <w:rPr>
                <w:sz w:val="20"/>
                <w:szCs w:val="20"/>
                <w:color w:val="auto"/>
              </w:rPr>
            </w:pPr>
            <w:r>
              <w:rPr>
                <w:rFonts w:ascii="Arial" w:cs="Arial" w:eastAsia="Arial" w:hAnsi="Arial"/>
                <w:sz w:val="14"/>
                <w:szCs w:val="14"/>
                <w:b w:val="1"/>
                <w:bCs w:val="1"/>
                <w:color w:val="auto"/>
              </w:rPr>
              <w:t>Name of Beneficial Owner</w:t>
            </w:r>
          </w:p>
        </w:tc>
        <w:tc>
          <w:tcPr>
            <w:tcW w:w="1500" w:type="dxa"/>
            <w:vAlign w:val="bottom"/>
          </w:tcPr>
          <w:p>
            <w:pPr>
              <w:jc w:val="right"/>
              <w:ind w:right="128"/>
              <w:spacing w:after="0"/>
              <w:rPr>
                <w:sz w:val="20"/>
                <w:szCs w:val="20"/>
                <w:color w:val="auto"/>
              </w:rPr>
            </w:pPr>
            <w:r>
              <w:rPr>
                <w:rFonts w:ascii="Arial" w:cs="Arial" w:eastAsia="Arial" w:hAnsi="Arial"/>
                <w:sz w:val="14"/>
                <w:szCs w:val="14"/>
                <w:b w:val="1"/>
                <w:bCs w:val="1"/>
                <w:color w:val="auto"/>
              </w:rPr>
              <w:t>Stock</w:t>
            </w:r>
          </w:p>
        </w:tc>
        <w:tc>
          <w:tcPr>
            <w:tcW w:w="1880" w:type="dxa"/>
            <w:vAlign w:val="bottom"/>
          </w:tcPr>
          <w:p>
            <w:pPr>
              <w:jc w:val="right"/>
              <w:ind w:right="288"/>
              <w:spacing w:after="0"/>
              <w:rPr>
                <w:sz w:val="20"/>
                <w:szCs w:val="20"/>
                <w:color w:val="auto"/>
              </w:rPr>
            </w:pPr>
            <w:r>
              <w:rPr>
                <w:rFonts w:ascii="Arial" w:cs="Arial" w:eastAsia="Arial" w:hAnsi="Arial"/>
                <w:sz w:val="14"/>
                <w:szCs w:val="14"/>
                <w:b w:val="1"/>
                <w:bCs w:val="1"/>
                <w:color w:val="auto"/>
              </w:rPr>
              <w:t>Days</w:t>
            </w:r>
            <w:r>
              <w:rPr>
                <w:rFonts w:ascii="Arial" w:cs="Arial" w:eastAsia="Arial" w:hAnsi="Arial"/>
                <w:sz w:val="9"/>
                <w:szCs w:val="9"/>
                <w:b w:val="1"/>
                <w:bCs w:val="1"/>
                <w:color w:val="auto"/>
              </w:rPr>
              <w:t>(1)</w:t>
            </w:r>
          </w:p>
        </w:tc>
        <w:tc>
          <w:tcPr>
            <w:tcW w:w="2780" w:type="dxa"/>
            <w:vAlign w:val="bottom"/>
            <w:gridSpan w:val="2"/>
          </w:tcPr>
          <w:p>
            <w:pPr>
              <w:jc w:val="right"/>
              <w:ind w:right="88"/>
              <w:spacing w:after="0"/>
              <w:rPr>
                <w:sz w:val="20"/>
                <w:szCs w:val="20"/>
                <w:color w:val="auto"/>
              </w:rPr>
            </w:pPr>
            <w:r>
              <w:rPr>
                <w:rFonts w:ascii="Arial" w:cs="Arial" w:eastAsia="Arial" w:hAnsi="Arial"/>
                <w:sz w:val="14"/>
                <w:szCs w:val="14"/>
                <w:b w:val="1"/>
                <w:bCs w:val="1"/>
                <w:color w:val="auto"/>
              </w:rPr>
              <w:t>Total Percentage Ownership</w:t>
            </w:r>
          </w:p>
        </w:tc>
        <w:tc>
          <w:tcPr>
            <w:tcW w:w="0" w:type="dxa"/>
            <w:vAlign w:val="bottom"/>
          </w:tcPr>
          <w:p>
            <w:pPr>
              <w:spacing w:after="0"/>
              <w:rPr>
                <w:sz w:val="1"/>
                <w:szCs w:val="1"/>
                <w:color w:val="auto"/>
              </w:rPr>
            </w:pPr>
          </w:p>
        </w:tc>
      </w:tr>
      <w:tr>
        <w:trPr>
          <w:trHeight w:val="110"/>
        </w:trPr>
        <w:tc>
          <w:tcPr>
            <w:tcW w:w="50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8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F1F2F2"/>
          </w:tcPr>
          <w:p>
            <w:pPr>
              <w:ind w:left="100"/>
              <w:spacing w:after="0"/>
              <w:rPr>
                <w:sz w:val="20"/>
                <w:szCs w:val="20"/>
                <w:color w:val="auto"/>
              </w:rPr>
            </w:pPr>
            <w:r>
              <w:rPr>
                <w:rFonts w:ascii="Arial" w:cs="Arial" w:eastAsia="Arial" w:hAnsi="Arial"/>
                <w:sz w:val="14"/>
                <w:szCs w:val="14"/>
                <w:b w:val="1"/>
                <w:bCs w:val="1"/>
                <w:color w:val="auto"/>
              </w:rPr>
              <w:t>5% Stockholder</w:t>
            </w:r>
          </w:p>
        </w:tc>
        <w:tc>
          <w:tcPr>
            <w:tcW w:w="1500" w:type="dxa"/>
            <w:vAlign w:val="bottom"/>
            <w:shd w:val="clear" w:color="auto" w:fill="F1F2F2"/>
          </w:tcPr>
          <w:p>
            <w:pPr>
              <w:spacing w:after="0"/>
              <w:rPr>
                <w:sz w:val="19"/>
                <w:szCs w:val="19"/>
                <w:color w:val="auto"/>
              </w:rPr>
            </w:pPr>
          </w:p>
        </w:tc>
        <w:tc>
          <w:tcPr>
            <w:tcW w:w="1880" w:type="dxa"/>
            <w:vAlign w:val="bottom"/>
            <w:shd w:val="clear" w:color="auto" w:fill="F1F2F2"/>
          </w:tcPr>
          <w:p>
            <w:pPr>
              <w:spacing w:after="0"/>
              <w:rPr>
                <w:sz w:val="19"/>
                <w:szCs w:val="19"/>
                <w:color w:val="auto"/>
              </w:rPr>
            </w:pPr>
          </w:p>
        </w:tc>
        <w:tc>
          <w:tcPr>
            <w:tcW w:w="1020" w:type="dxa"/>
            <w:vAlign w:val="bottom"/>
            <w:shd w:val="clear" w:color="auto" w:fill="F1F2F2"/>
          </w:tcPr>
          <w:p>
            <w:pPr>
              <w:spacing w:after="0"/>
              <w:rPr>
                <w:sz w:val="19"/>
                <w:szCs w:val="19"/>
                <w:color w:val="auto"/>
              </w:rPr>
            </w:pPr>
          </w:p>
        </w:tc>
        <w:tc>
          <w:tcPr>
            <w:tcW w:w="1760" w:type="dxa"/>
            <w:vAlign w:val="bottom"/>
            <w:shd w:val="clear" w:color="auto" w:fill="F1F2F2"/>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tcPr>
          <w:p>
            <w:pPr>
              <w:ind w:left="100"/>
              <w:spacing w:after="0" w:line="230" w:lineRule="exact"/>
              <w:rPr>
                <w:sz w:val="20"/>
                <w:szCs w:val="20"/>
                <w:color w:val="auto"/>
              </w:rPr>
            </w:pPr>
            <w:r>
              <w:rPr>
                <w:rFonts w:ascii="Arial" w:cs="Arial" w:eastAsia="Arial" w:hAnsi="Arial"/>
                <w:sz w:val="26"/>
                <w:szCs w:val="26"/>
                <w:color w:val="auto"/>
                <w:vertAlign w:val="subscript"/>
              </w:rPr>
              <w:t>NAVER</w:t>
            </w:r>
            <w:r>
              <w:rPr>
                <w:rFonts w:ascii="Arial" w:cs="Arial" w:eastAsia="Arial" w:hAnsi="Arial"/>
                <w:sz w:val="9"/>
                <w:szCs w:val="9"/>
                <w:color w:val="auto"/>
              </w:rPr>
              <w:t>(2)(3)</w:t>
            </w:r>
          </w:p>
        </w:tc>
        <w:tc>
          <w:tcPr>
            <w:tcW w:w="1500" w:type="dxa"/>
            <w:vAlign w:val="bottom"/>
          </w:tcPr>
          <w:p>
            <w:pPr>
              <w:jc w:val="right"/>
              <w:ind w:right="168"/>
              <w:spacing w:after="0"/>
              <w:rPr>
                <w:sz w:val="20"/>
                <w:szCs w:val="20"/>
                <w:color w:val="auto"/>
              </w:rPr>
            </w:pPr>
            <w:r>
              <w:rPr>
                <w:rFonts w:ascii="Arial" w:cs="Arial" w:eastAsia="Arial" w:hAnsi="Arial"/>
                <w:sz w:val="14"/>
                <w:szCs w:val="14"/>
                <w:color w:val="auto"/>
              </w:rPr>
              <w:t>80,353,557</w:t>
            </w:r>
          </w:p>
        </w:tc>
        <w:tc>
          <w:tcPr>
            <w:tcW w:w="188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80,353,557</w:t>
            </w:r>
          </w:p>
        </w:tc>
        <w:tc>
          <w:tcPr>
            <w:tcW w:w="1760" w:type="dxa"/>
            <w:vAlign w:val="bottom"/>
          </w:tcPr>
          <w:p>
            <w:pPr>
              <w:jc w:val="right"/>
              <w:ind w:right="88"/>
              <w:spacing w:after="0"/>
              <w:rPr>
                <w:sz w:val="20"/>
                <w:szCs w:val="20"/>
                <w:color w:val="auto"/>
              </w:rPr>
            </w:pPr>
            <w:r>
              <w:rPr>
                <w:rFonts w:ascii="Arial" w:cs="Arial" w:eastAsia="Arial" w:hAnsi="Arial"/>
                <w:sz w:val="14"/>
                <w:szCs w:val="14"/>
                <w:color w:val="auto"/>
              </w:rPr>
              <w:t>59.67 %</w:t>
            </w:r>
          </w:p>
        </w:tc>
        <w:tc>
          <w:tcPr>
            <w:tcW w:w="0" w:type="dxa"/>
            <w:vAlign w:val="bottom"/>
          </w:tcPr>
          <w:p>
            <w:pPr>
              <w:spacing w:after="0"/>
              <w:rPr>
                <w:sz w:val="1"/>
                <w:szCs w:val="1"/>
                <w:color w:val="auto"/>
              </w:rPr>
            </w:pPr>
          </w:p>
        </w:tc>
      </w:tr>
      <w:tr>
        <w:trPr>
          <w:trHeight w:val="230"/>
        </w:trPr>
        <w:tc>
          <w:tcPr>
            <w:tcW w:w="5080" w:type="dxa"/>
            <w:vAlign w:val="bottom"/>
            <w:shd w:val="clear" w:color="auto" w:fill="F1F2F2"/>
          </w:tcPr>
          <w:p>
            <w:pPr>
              <w:ind w:left="100"/>
              <w:spacing w:after="0"/>
              <w:rPr>
                <w:sz w:val="20"/>
                <w:szCs w:val="20"/>
                <w:color w:val="auto"/>
              </w:rPr>
            </w:pPr>
            <w:r>
              <w:rPr>
                <w:rFonts w:ascii="Arial" w:cs="Arial" w:eastAsia="Arial" w:hAnsi="Arial"/>
                <w:sz w:val="14"/>
                <w:szCs w:val="14"/>
                <w:color w:val="auto"/>
              </w:rPr>
              <w:t>LY Corporation</w:t>
            </w:r>
            <w:r>
              <w:rPr>
                <w:rFonts w:ascii="Arial" w:cs="Arial" w:eastAsia="Arial" w:hAnsi="Arial"/>
                <w:sz w:val="18"/>
                <w:szCs w:val="18"/>
                <w:color w:val="auto"/>
                <w:vertAlign w:val="superscript"/>
              </w:rPr>
              <w:t>(2)(4)</w:t>
            </w:r>
          </w:p>
        </w:tc>
        <w:tc>
          <w:tcPr>
            <w:tcW w:w="1500" w:type="dxa"/>
            <w:vAlign w:val="bottom"/>
            <w:shd w:val="clear" w:color="auto" w:fill="F1F2F2"/>
          </w:tcPr>
          <w:p>
            <w:pPr>
              <w:jc w:val="right"/>
              <w:ind w:right="168"/>
              <w:spacing w:after="0"/>
              <w:rPr>
                <w:sz w:val="20"/>
                <w:szCs w:val="20"/>
                <w:color w:val="auto"/>
              </w:rPr>
            </w:pPr>
            <w:r>
              <w:rPr>
                <w:rFonts w:ascii="Arial" w:cs="Arial" w:eastAsia="Arial" w:hAnsi="Arial"/>
                <w:sz w:val="14"/>
                <w:szCs w:val="14"/>
                <w:color w:val="auto"/>
              </w:rPr>
              <w:t>31,432,480</w:t>
            </w:r>
          </w:p>
        </w:tc>
        <w:tc>
          <w:tcPr>
            <w:tcW w:w="1880" w:type="dxa"/>
            <w:vAlign w:val="bottom"/>
            <w:shd w:val="clear" w:color="auto" w:fill="F1F2F2"/>
          </w:tcPr>
          <w:p>
            <w:pPr>
              <w:jc w:val="right"/>
              <w:ind w:right="3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F1F2F2"/>
          </w:tcPr>
          <w:p>
            <w:pPr>
              <w:jc w:val="right"/>
              <w:spacing w:after="0"/>
              <w:rPr>
                <w:sz w:val="20"/>
                <w:szCs w:val="20"/>
                <w:color w:val="auto"/>
              </w:rPr>
            </w:pPr>
            <w:r>
              <w:rPr>
                <w:rFonts w:ascii="Arial" w:cs="Arial" w:eastAsia="Arial" w:hAnsi="Arial"/>
                <w:sz w:val="14"/>
                <w:szCs w:val="14"/>
                <w:color w:val="auto"/>
              </w:rPr>
              <w:t>31,432,480</w:t>
            </w:r>
          </w:p>
        </w:tc>
        <w:tc>
          <w:tcPr>
            <w:tcW w:w="1760" w:type="dxa"/>
            <w:vAlign w:val="bottom"/>
            <w:shd w:val="clear" w:color="auto" w:fill="F1F2F2"/>
          </w:tcPr>
          <w:p>
            <w:pPr>
              <w:jc w:val="right"/>
              <w:ind w:right="88"/>
              <w:spacing w:after="0"/>
              <w:rPr>
                <w:sz w:val="20"/>
                <w:szCs w:val="20"/>
                <w:color w:val="auto"/>
              </w:rPr>
            </w:pPr>
            <w:r>
              <w:rPr>
                <w:rFonts w:ascii="Arial" w:cs="Arial" w:eastAsia="Arial" w:hAnsi="Arial"/>
                <w:sz w:val="14"/>
                <w:szCs w:val="14"/>
                <w:color w:val="auto"/>
              </w:rPr>
              <w:t>23.34 %</w:t>
            </w:r>
          </w:p>
        </w:tc>
        <w:tc>
          <w:tcPr>
            <w:tcW w:w="0" w:type="dxa"/>
            <w:vAlign w:val="bottom"/>
          </w:tcPr>
          <w:p>
            <w:pPr>
              <w:spacing w:after="0"/>
              <w:rPr>
                <w:sz w:val="1"/>
                <w:szCs w:val="1"/>
                <w:color w:val="auto"/>
              </w:rPr>
            </w:pPr>
          </w:p>
        </w:tc>
      </w:tr>
      <w:tr>
        <w:trPr>
          <w:trHeight w:val="230"/>
        </w:trPr>
        <w:tc>
          <w:tcPr>
            <w:tcW w:w="5080" w:type="dxa"/>
            <w:vAlign w:val="bottom"/>
          </w:tcPr>
          <w:p>
            <w:pPr>
              <w:ind w:left="100"/>
              <w:spacing w:after="0"/>
              <w:rPr>
                <w:sz w:val="20"/>
                <w:szCs w:val="20"/>
                <w:color w:val="auto"/>
              </w:rPr>
            </w:pPr>
            <w:r>
              <w:rPr>
                <w:rFonts w:ascii="Arial" w:cs="Arial" w:eastAsia="Arial" w:hAnsi="Arial"/>
                <w:sz w:val="14"/>
                <w:szCs w:val="14"/>
                <w:color w:val="auto"/>
              </w:rPr>
              <w:t>FMR LLC</w:t>
            </w:r>
            <w:r>
              <w:rPr>
                <w:rFonts w:ascii="Arial" w:cs="Arial" w:eastAsia="Arial" w:hAnsi="Arial"/>
                <w:sz w:val="18"/>
                <w:szCs w:val="18"/>
                <w:color w:val="auto"/>
                <w:vertAlign w:val="superscript"/>
              </w:rPr>
              <w:t>(5)</w:t>
            </w:r>
          </w:p>
        </w:tc>
        <w:tc>
          <w:tcPr>
            <w:tcW w:w="1500" w:type="dxa"/>
            <w:vAlign w:val="bottom"/>
          </w:tcPr>
          <w:p>
            <w:pPr>
              <w:jc w:val="right"/>
              <w:ind w:right="168"/>
              <w:spacing w:after="0"/>
              <w:rPr>
                <w:sz w:val="20"/>
                <w:szCs w:val="20"/>
                <w:color w:val="auto"/>
              </w:rPr>
            </w:pPr>
            <w:r>
              <w:rPr>
                <w:rFonts w:ascii="Arial" w:cs="Arial" w:eastAsia="Arial" w:hAnsi="Arial"/>
                <w:sz w:val="14"/>
                <w:szCs w:val="14"/>
                <w:color w:val="auto"/>
              </w:rPr>
              <w:t>13,266,483</w:t>
            </w:r>
          </w:p>
        </w:tc>
        <w:tc>
          <w:tcPr>
            <w:tcW w:w="188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13,266,483</w:t>
            </w:r>
          </w:p>
        </w:tc>
        <w:tc>
          <w:tcPr>
            <w:tcW w:w="1760" w:type="dxa"/>
            <w:vAlign w:val="bottom"/>
          </w:tcPr>
          <w:p>
            <w:pPr>
              <w:jc w:val="right"/>
              <w:ind w:right="88"/>
              <w:spacing w:after="0"/>
              <w:rPr>
                <w:sz w:val="20"/>
                <w:szCs w:val="20"/>
                <w:color w:val="auto"/>
              </w:rPr>
            </w:pPr>
            <w:r>
              <w:rPr>
                <w:rFonts w:ascii="Arial" w:cs="Arial" w:eastAsia="Arial" w:hAnsi="Arial"/>
                <w:sz w:val="14"/>
                <w:szCs w:val="14"/>
                <w:color w:val="auto"/>
              </w:rPr>
              <w:t>9.85 %</w:t>
            </w:r>
          </w:p>
        </w:tc>
        <w:tc>
          <w:tcPr>
            <w:tcW w:w="0" w:type="dxa"/>
            <w:vAlign w:val="bottom"/>
          </w:tcPr>
          <w:p>
            <w:pPr>
              <w:spacing w:after="0"/>
              <w:rPr>
                <w:sz w:val="1"/>
                <w:szCs w:val="1"/>
                <w:color w:val="auto"/>
              </w:rPr>
            </w:pPr>
          </w:p>
        </w:tc>
      </w:tr>
      <w:tr>
        <w:trPr>
          <w:trHeight w:val="230"/>
        </w:trPr>
        <w:tc>
          <w:tcPr>
            <w:tcW w:w="5080" w:type="dxa"/>
            <w:vAlign w:val="bottom"/>
            <w:shd w:val="clear" w:color="auto" w:fill="F1F2F2"/>
          </w:tcPr>
          <w:p>
            <w:pPr>
              <w:ind w:left="100"/>
              <w:spacing w:after="0"/>
              <w:rPr>
                <w:sz w:val="20"/>
                <w:szCs w:val="20"/>
                <w:color w:val="auto"/>
              </w:rPr>
            </w:pPr>
            <w:r>
              <w:rPr>
                <w:rFonts w:ascii="Arial" w:cs="Arial" w:eastAsia="Arial" w:hAnsi="Arial"/>
                <w:sz w:val="14"/>
                <w:szCs w:val="14"/>
                <w:b w:val="1"/>
                <w:bCs w:val="1"/>
                <w:color w:val="auto"/>
              </w:rPr>
              <w:t>Directors and Named Executive Officers</w:t>
            </w:r>
          </w:p>
        </w:tc>
        <w:tc>
          <w:tcPr>
            <w:tcW w:w="1500" w:type="dxa"/>
            <w:vAlign w:val="bottom"/>
            <w:shd w:val="clear" w:color="auto" w:fill="F1F2F2"/>
          </w:tcPr>
          <w:p>
            <w:pPr>
              <w:spacing w:after="0"/>
              <w:rPr>
                <w:sz w:val="19"/>
                <w:szCs w:val="19"/>
                <w:color w:val="auto"/>
              </w:rPr>
            </w:pPr>
          </w:p>
        </w:tc>
        <w:tc>
          <w:tcPr>
            <w:tcW w:w="1880" w:type="dxa"/>
            <w:vAlign w:val="bottom"/>
            <w:shd w:val="clear" w:color="auto" w:fill="F1F2F2"/>
          </w:tcPr>
          <w:p>
            <w:pPr>
              <w:spacing w:after="0"/>
              <w:rPr>
                <w:sz w:val="19"/>
                <w:szCs w:val="19"/>
                <w:color w:val="auto"/>
              </w:rPr>
            </w:pPr>
          </w:p>
        </w:tc>
        <w:tc>
          <w:tcPr>
            <w:tcW w:w="1020" w:type="dxa"/>
            <w:vAlign w:val="bottom"/>
            <w:shd w:val="clear" w:color="auto" w:fill="F1F2F2"/>
          </w:tcPr>
          <w:p>
            <w:pPr>
              <w:spacing w:after="0"/>
              <w:rPr>
                <w:sz w:val="19"/>
                <w:szCs w:val="19"/>
                <w:color w:val="auto"/>
              </w:rPr>
            </w:pPr>
          </w:p>
        </w:tc>
        <w:tc>
          <w:tcPr>
            <w:tcW w:w="1760" w:type="dxa"/>
            <w:vAlign w:val="bottom"/>
            <w:shd w:val="clear" w:color="auto" w:fill="F1F2F2"/>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5080" w:type="dxa"/>
            <w:vAlign w:val="bottom"/>
          </w:tcPr>
          <w:p>
            <w:pPr>
              <w:ind w:left="100"/>
              <w:spacing w:after="0"/>
              <w:rPr>
                <w:sz w:val="20"/>
                <w:szCs w:val="20"/>
                <w:color w:val="auto"/>
              </w:rPr>
            </w:pPr>
            <w:r>
              <w:rPr>
                <w:rFonts w:ascii="Arial" w:cs="Arial" w:eastAsia="Arial" w:hAnsi="Arial"/>
                <w:sz w:val="14"/>
                <w:szCs w:val="14"/>
                <w:color w:val="auto"/>
              </w:rPr>
              <w:t>Junkoo Kim</w:t>
            </w:r>
          </w:p>
        </w:tc>
        <w:tc>
          <w:tcPr>
            <w:tcW w:w="1500" w:type="dxa"/>
            <w:vAlign w:val="bottom"/>
          </w:tcPr>
          <w:p>
            <w:pPr>
              <w:jc w:val="right"/>
              <w:ind w:right="168"/>
              <w:spacing w:after="0"/>
              <w:rPr>
                <w:sz w:val="20"/>
                <w:szCs w:val="20"/>
                <w:color w:val="auto"/>
              </w:rPr>
            </w:pPr>
            <w:r>
              <w:rPr>
                <w:rFonts w:ascii="Arial" w:cs="Arial" w:eastAsia="Arial" w:hAnsi="Arial"/>
                <w:sz w:val="14"/>
                <w:szCs w:val="14"/>
                <w:color w:val="auto"/>
              </w:rPr>
              <w:t>510,231</w:t>
            </w:r>
          </w:p>
        </w:tc>
        <w:tc>
          <w:tcPr>
            <w:tcW w:w="1880" w:type="dxa"/>
            <w:vAlign w:val="bottom"/>
          </w:tcPr>
          <w:p>
            <w:pPr>
              <w:jc w:val="right"/>
              <w:ind w:right="348"/>
              <w:spacing w:after="0"/>
              <w:rPr>
                <w:sz w:val="20"/>
                <w:szCs w:val="20"/>
                <w:color w:val="auto"/>
              </w:rPr>
            </w:pPr>
            <w:r>
              <w:rPr>
                <w:rFonts w:ascii="Arial" w:cs="Arial" w:eastAsia="Arial" w:hAnsi="Arial"/>
                <w:sz w:val="14"/>
                <w:szCs w:val="14"/>
                <w:color w:val="auto"/>
              </w:rPr>
              <w:t>3,515,214</w:t>
            </w:r>
          </w:p>
        </w:tc>
        <w:tc>
          <w:tcPr>
            <w:tcW w:w="1020" w:type="dxa"/>
            <w:vAlign w:val="bottom"/>
          </w:tcPr>
          <w:p>
            <w:pPr>
              <w:jc w:val="right"/>
              <w:spacing w:after="0"/>
              <w:rPr>
                <w:sz w:val="20"/>
                <w:szCs w:val="20"/>
                <w:color w:val="auto"/>
              </w:rPr>
            </w:pPr>
            <w:r>
              <w:rPr>
                <w:rFonts w:ascii="Arial" w:cs="Arial" w:eastAsia="Arial" w:hAnsi="Arial"/>
                <w:sz w:val="14"/>
                <w:szCs w:val="14"/>
                <w:color w:val="auto"/>
              </w:rPr>
              <w:t>4,025,445</w:t>
            </w:r>
          </w:p>
        </w:tc>
        <w:tc>
          <w:tcPr>
            <w:tcW w:w="1760" w:type="dxa"/>
            <w:vAlign w:val="bottom"/>
          </w:tcPr>
          <w:p>
            <w:pPr>
              <w:jc w:val="right"/>
              <w:ind w:right="88"/>
              <w:spacing w:after="0"/>
              <w:rPr>
                <w:sz w:val="20"/>
                <w:szCs w:val="20"/>
                <w:color w:val="auto"/>
              </w:rPr>
            </w:pPr>
            <w:r>
              <w:rPr>
                <w:rFonts w:ascii="Arial" w:cs="Arial" w:eastAsia="Arial" w:hAnsi="Arial"/>
                <w:sz w:val="14"/>
                <w:szCs w:val="14"/>
                <w:color w:val="auto"/>
              </w:rPr>
              <w:t>2.91 %</w:t>
            </w:r>
          </w:p>
        </w:tc>
        <w:tc>
          <w:tcPr>
            <w:tcW w:w="0" w:type="dxa"/>
            <w:vAlign w:val="bottom"/>
          </w:tcPr>
          <w:p>
            <w:pPr>
              <w:spacing w:after="0"/>
              <w:rPr>
                <w:sz w:val="1"/>
                <w:szCs w:val="1"/>
                <w:color w:val="auto"/>
              </w:rPr>
            </w:pPr>
          </w:p>
        </w:tc>
      </w:tr>
      <w:tr>
        <w:trPr>
          <w:trHeight w:val="22"/>
        </w:trPr>
        <w:tc>
          <w:tcPr>
            <w:tcW w:w="50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80" w:type="dxa"/>
            <w:vAlign w:val="bottom"/>
            <w:tcBorders>
              <w:bottom w:val="single" w:sz="8" w:color="F1F2F2"/>
            </w:tcBorders>
            <w:shd w:val="clear" w:color="auto" w:fill="F1F2F2"/>
          </w:tcPr>
          <w:p>
            <w:pPr>
              <w:ind w:left="100"/>
              <w:spacing w:after="0"/>
              <w:rPr>
                <w:sz w:val="20"/>
                <w:szCs w:val="20"/>
                <w:color w:val="auto"/>
              </w:rPr>
            </w:pPr>
            <w:r>
              <w:rPr>
                <w:rFonts w:ascii="Arial" w:cs="Arial" w:eastAsia="Arial" w:hAnsi="Arial"/>
                <w:sz w:val="14"/>
                <w:szCs w:val="14"/>
                <w:color w:val="auto"/>
              </w:rPr>
              <w:t>Yongsoo Kim</w:t>
            </w:r>
          </w:p>
        </w:tc>
        <w:tc>
          <w:tcPr>
            <w:tcW w:w="1500" w:type="dxa"/>
            <w:vAlign w:val="bottom"/>
            <w:tcBorders>
              <w:bottom w:val="single" w:sz="8" w:color="F1F2F2"/>
            </w:tcBorders>
            <w:shd w:val="clear" w:color="auto" w:fill="F1F2F2"/>
          </w:tcPr>
          <w:p>
            <w:pPr>
              <w:jc w:val="right"/>
              <w:ind w:right="168"/>
              <w:spacing w:after="0"/>
              <w:rPr>
                <w:sz w:val="20"/>
                <w:szCs w:val="20"/>
                <w:color w:val="auto"/>
              </w:rPr>
            </w:pPr>
            <w:r>
              <w:rPr>
                <w:rFonts w:ascii="Arial" w:cs="Arial" w:eastAsia="Arial" w:hAnsi="Arial"/>
                <w:sz w:val="14"/>
                <w:szCs w:val="14"/>
                <w:color w:val="auto"/>
              </w:rPr>
              <w:t>44,878</w:t>
            </w:r>
          </w:p>
        </w:tc>
        <w:tc>
          <w:tcPr>
            <w:tcW w:w="1880" w:type="dxa"/>
            <w:vAlign w:val="bottom"/>
            <w:tcBorders>
              <w:bottom w:val="single" w:sz="8" w:color="F1F2F2"/>
            </w:tcBorders>
            <w:shd w:val="clear" w:color="auto" w:fill="F1F2F2"/>
          </w:tcPr>
          <w:p>
            <w:pPr>
              <w:jc w:val="right"/>
              <w:ind w:right="348"/>
              <w:spacing w:after="0"/>
              <w:rPr>
                <w:sz w:val="20"/>
                <w:szCs w:val="20"/>
                <w:color w:val="auto"/>
              </w:rPr>
            </w:pPr>
            <w:r>
              <w:rPr>
                <w:rFonts w:ascii="Arial" w:cs="Arial" w:eastAsia="Arial" w:hAnsi="Arial"/>
                <w:sz w:val="14"/>
                <w:szCs w:val="14"/>
                <w:color w:val="auto"/>
              </w:rPr>
              <w:t>69,385</w:t>
            </w:r>
          </w:p>
        </w:tc>
        <w:tc>
          <w:tcPr>
            <w:tcW w:w="1020" w:type="dxa"/>
            <w:vAlign w:val="bottom"/>
            <w:tcBorders>
              <w:bottom w:val="single" w:sz="8" w:color="F1F2F2"/>
            </w:tcBorders>
            <w:shd w:val="clear" w:color="auto" w:fill="F1F2F2"/>
          </w:tcPr>
          <w:p>
            <w:pPr>
              <w:jc w:val="right"/>
              <w:spacing w:after="0"/>
              <w:rPr>
                <w:sz w:val="20"/>
                <w:szCs w:val="20"/>
                <w:color w:val="auto"/>
              </w:rPr>
            </w:pPr>
            <w:r>
              <w:rPr>
                <w:rFonts w:ascii="Arial" w:cs="Arial" w:eastAsia="Arial" w:hAnsi="Arial"/>
                <w:sz w:val="14"/>
                <w:szCs w:val="14"/>
                <w:color w:val="auto"/>
              </w:rPr>
              <w:t>114,263</w:t>
            </w:r>
          </w:p>
        </w:tc>
        <w:tc>
          <w:tcPr>
            <w:tcW w:w="1760" w:type="dxa"/>
            <w:vAlign w:val="bottom"/>
            <w:tcBorders>
              <w:bottom w:val="single" w:sz="8" w:color="F1F2F2"/>
            </w:tcBorders>
            <w:shd w:val="clear" w:color="auto" w:fill="F1F2F2"/>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5080" w:type="dxa"/>
            <w:vAlign w:val="bottom"/>
          </w:tcPr>
          <w:p>
            <w:pPr>
              <w:ind w:left="100"/>
              <w:spacing w:after="0"/>
              <w:rPr>
                <w:sz w:val="20"/>
                <w:szCs w:val="20"/>
                <w:color w:val="auto"/>
              </w:rPr>
            </w:pPr>
            <w:r>
              <w:rPr>
                <w:rFonts w:ascii="Arial" w:cs="Arial" w:eastAsia="Arial" w:hAnsi="Arial"/>
                <w:sz w:val="14"/>
                <w:szCs w:val="14"/>
                <w:color w:val="auto"/>
              </w:rPr>
              <w:t>David J. Lee</w:t>
            </w:r>
          </w:p>
        </w:tc>
        <w:tc>
          <w:tcPr>
            <w:tcW w:w="1500" w:type="dxa"/>
            <w:vAlign w:val="bottom"/>
          </w:tcPr>
          <w:p>
            <w:pPr>
              <w:jc w:val="right"/>
              <w:ind w:right="168"/>
              <w:spacing w:after="0"/>
              <w:rPr>
                <w:sz w:val="20"/>
                <w:szCs w:val="20"/>
                <w:color w:val="auto"/>
              </w:rPr>
            </w:pPr>
            <w:r>
              <w:rPr>
                <w:rFonts w:ascii="Arial" w:cs="Arial" w:eastAsia="Arial" w:hAnsi="Arial"/>
                <w:sz w:val="14"/>
                <w:szCs w:val="14"/>
                <w:color w:val="auto"/>
              </w:rPr>
              <w:t>130,788</w:t>
            </w:r>
          </w:p>
        </w:tc>
        <w:tc>
          <w:tcPr>
            <w:tcW w:w="1880" w:type="dxa"/>
            <w:vAlign w:val="bottom"/>
          </w:tcPr>
          <w:p>
            <w:pPr>
              <w:jc w:val="right"/>
              <w:ind w:right="348"/>
              <w:spacing w:after="0"/>
              <w:rPr>
                <w:sz w:val="20"/>
                <w:szCs w:val="20"/>
                <w:color w:val="auto"/>
              </w:rPr>
            </w:pPr>
            <w:r>
              <w:rPr>
                <w:rFonts w:ascii="Arial" w:cs="Arial" w:eastAsia="Arial" w:hAnsi="Arial"/>
                <w:sz w:val="14"/>
                <w:szCs w:val="14"/>
                <w:color w:val="auto"/>
              </w:rPr>
              <w:t>519,139</w:t>
            </w:r>
          </w:p>
        </w:tc>
        <w:tc>
          <w:tcPr>
            <w:tcW w:w="1020" w:type="dxa"/>
            <w:vAlign w:val="bottom"/>
          </w:tcPr>
          <w:p>
            <w:pPr>
              <w:jc w:val="right"/>
              <w:spacing w:after="0"/>
              <w:rPr>
                <w:sz w:val="20"/>
                <w:szCs w:val="20"/>
                <w:color w:val="auto"/>
              </w:rPr>
            </w:pPr>
            <w:r>
              <w:rPr>
                <w:rFonts w:ascii="Arial" w:cs="Arial" w:eastAsia="Arial" w:hAnsi="Arial"/>
                <w:sz w:val="14"/>
                <w:szCs w:val="14"/>
                <w:color w:val="auto"/>
              </w:rPr>
              <w:t>649,927</w:t>
            </w:r>
          </w:p>
        </w:tc>
        <w:tc>
          <w:tcPr>
            <w:tcW w:w="17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50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80" w:type="dxa"/>
            <w:vAlign w:val="bottom"/>
            <w:tcBorders>
              <w:bottom w:val="single" w:sz="8" w:color="F1F2F2"/>
            </w:tcBorders>
            <w:shd w:val="clear" w:color="auto" w:fill="F1F2F2"/>
          </w:tcPr>
          <w:p>
            <w:pPr>
              <w:ind w:left="100"/>
              <w:spacing w:after="0"/>
              <w:rPr>
                <w:sz w:val="20"/>
                <w:szCs w:val="20"/>
                <w:color w:val="auto"/>
              </w:rPr>
            </w:pPr>
            <w:r>
              <w:rPr>
                <w:rFonts w:ascii="Arial" w:cs="Arial" w:eastAsia="Arial" w:hAnsi="Arial"/>
                <w:sz w:val="14"/>
                <w:szCs w:val="14"/>
                <w:color w:val="auto"/>
              </w:rPr>
              <w:t>Hyeeun Son</w:t>
            </w:r>
          </w:p>
        </w:tc>
        <w:tc>
          <w:tcPr>
            <w:tcW w:w="1500" w:type="dxa"/>
            <w:vAlign w:val="bottom"/>
            <w:tcBorders>
              <w:bottom w:val="single" w:sz="8" w:color="F1F2F2"/>
            </w:tcBorders>
            <w:shd w:val="clear" w:color="auto" w:fill="F1F2F2"/>
          </w:tcPr>
          <w:p>
            <w:pPr>
              <w:jc w:val="right"/>
              <w:ind w:right="168"/>
              <w:spacing w:after="0"/>
              <w:rPr>
                <w:sz w:val="20"/>
                <w:szCs w:val="20"/>
                <w:color w:val="auto"/>
              </w:rPr>
            </w:pPr>
            <w:r>
              <w:rPr>
                <w:rFonts w:ascii="Arial" w:cs="Arial" w:eastAsia="Arial" w:hAnsi="Arial"/>
                <w:sz w:val="14"/>
                <w:szCs w:val="14"/>
                <w:color w:val="auto"/>
              </w:rPr>
              <w:t>32,678</w:t>
            </w:r>
          </w:p>
        </w:tc>
        <w:tc>
          <w:tcPr>
            <w:tcW w:w="1880" w:type="dxa"/>
            <w:vAlign w:val="bottom"/>
            <w:tcBorders>
              <w:bottom w:val="single" w:sz="8" w:color="F1F2F2"/>
            </w:tcBorders>
            <w:shd w:val="clear" w:color="auto" w:fill="F1F2F2"/>
          </w:tcPr>
          <w:p>
            <w:pPr>
              <w:jc w:val="right"/>
              <w:ind w:right="348"/>
              <w:spacing w:after="0"/>
              <w:rPr>
                <w:sz w:val="20"/>
                <w:szCs w:val="20"/>
                <w:color w:val="auto"/>
              </w:rPr>
            </w:pPr>
            <w:r>
              <w:rPr>
                <w:rFonts w:ascii="Arial" w:cs="Arial" w:eastAsia="Arial" w:hAnsi="Arial"/>
                <w:sz w:val="14"/>
                <w:szCs w:val="14"/>
                <w:color w:val="auto"/>
              </w:rPr>
              <w:t>71,247</w:t>
            </w:r>
          </w:p>
        </w:tc>
        <w:tc>
          <w:tcPr>
            <w:tcW w:w="1020" w:type="dxa"/>
            <w:vAlign w:val="bottom"/>
            <w:tcBorders>
              <w:bottom w:val="single" w:sz="8" w:color="F1F2F2"/>
            </w:tcBorders>
            <w:shd w:val="clear" w:color="auto" w:fill="F1F2F2"/>
          </w:tcPr>
          <w:p>
            <w:pPr>
              <w:jc w:val="right"/>
              <w:spacing w:after="0"/>
              <w:rPr>
                <w:sz w:val="20"/>
                <w:szCs w:val="20"/>
                <w:color w:val="auto"/>
              </w:rPr>
            </w:pPr>
            <w:r>
              <w:rPr>
                <w:rFonts w:ascii="Arial" w:cs="Arial" w:eastAsia="Arial" w:hAnsi="Arial"/>
                <w:sz w:val="14"/>
                <w:szCs w:val="14"/>
                <w:color w:val="auto"/>
              </w:rPr>
              <w:t>103,925</w:t>
            </w:r>
          </w:p>
        </w:tc>
        <w:tc>
          <w:tcPr>
            <w:tcW w:w="1760" w:type="dxa"/>
            <w:vAlign w:val="bottom"/>
            <w:tcBorders>
              <w:bottom w:val="single" w:sz="8" w:color="F1F2F2"/>
            </w:tcBorders>
            <w:shd w:val="clear" w:color="auto" w:fill="F1F2F2"/>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5080" w:type="dxa"/>
            <w:vAlign w:val="bottom"/>
          </w:tcPr>
          <w:p>
            <w:pPr>
              <w:ind w:left="100"/>
              <w:spacing w:after="0"/>
              <w:rPr>
                <w:sz w:val="20"/>
                <w:szCs w:val="20"/>
                <w:color w:val="auto"/>
              </w:rPr>
            </w:pPr>
            <w:r>
              <w:rPr>
                <w:rFonts w:ascii="Arial" w:cs="Arial" w:eastAsia="Arial" w:hAnsi="Arial"/>
                <w:sz w:val="14"/>
                <w:szCs w:val="14"/>
                <w:color w:val="auto"/>
              </w:rPr>
              <w:t>Haejin Lee</w:t>
            </w:r>
          </w:p>
        </w:tc>
        <w:tc>
          <w:tcPr>
            <w:tcW w:w="15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880" w:type="dxa"/>
            <w:vAlign w:val="bottom"/>
          </w:tcPr>
          <w:p>
            <w:pPr>
              <w:jc w:val="right"/>
              <w:ind w:right="348"/>
              <w:spacing w:after="0"/>
              <w:rPr>
                <w:sz w:val="20"/>
                <w:szCs w:val="20"/>
                <w:color w:val="auto"/>
              </w:rPr>
            </w:pPr>
            <w:r>
              <w:rPr>
                <w:rFonts w:ascii="Arial" w:cs="Arial" w:eastAsia="Arial" w:hAnsi="Arial"/>
                <w:sz w:val="14"/>
                <w:szCs w:val="14"/>
                <w:color w:val="auto"/>
              </w:rPr>
              <w:t>2,832,270</w:t>
            </w:r>
          </w:p>
        </w:tc>
        <w:tc>
          <w:tcPr>
            <w:tcW w:w="1020" w:type="dxa"/>
            <w:vAlign w:val="bottom"/>
          </w:tcPr>
          <w:p>
            <w:pPr>
              <w:jc w:val="right"/>
              <w:spacing w:after="0"/>
              <w:rPr>
                <w:sz w:val="20"/>
                <w:szCs w:val="20"/>
                <w:color w:val="auto"/>
              </w:rPr>
            </w:pPr>
            <w:r>
              <w:rPr>
                <w:rFonts w:ascii="Arial" w:cs="Arial" w:eastAsia="Arial" w:hAnsi="Arial"/>
                <w:sz w:val="14"/>
                <w:szCs w:val="14"/>
                <w:color w:val="auto"/>
              </w:rPr>
              <w:t>2,832,270</w:t>
            </w:r>
          </w:p>
        </w:tc>
        <w:tc>
          <w:tcPr>
            <w:tcW w:w="1760" w:type="dxa"/>
            <w:vAlign w:val="bottom"/>
          </w:tcPr>
          <w:p>
            <w:pPr>
              <w:jc w:val="right"/>
              <w:ind w:right="88"/>
              <w:spacing w:after="0"/>
              <w:rPr>
                <w:sz w:val="20"/>
                <w:szCs w:val="20"/>
                <w:color w:val="auto"/>
              </w:rPr>
            </w:pPr>
            <w:r>
              <w:rPr>
                <w:rFonts w:ascii="Arial" w:cs="Arial" w:eastAsia="Arial" w:hAnsi="Arial"/>
                <w:sz w:val="14"/>
                <w:szCs w:val="14"/>
                <w:color w:val="auto"/>
              </w:rPr>
              <w:t>2.06 %</w:t>
            </w:r>
          </w:p>
        </w:tc>
        <w:tc>
          <w:tcPr>
            <w:tcW w:w="0" w:type="dxa"/>
            <w:vAlign w:val="bottom"/>
          </w:tcPr>
          <w:p>
            <w:pPr>
              <w:spacing w:after="0"/>
              <w:rPr>
                <w:sz w:val="1"/>
                <w:szCs w:val="1"/>
                <w:color w:val="auto"/>
              </w:rPr>
            </w:pPr>
          </w:p>
        </w:tc>
      </w:tr>
      <w:tr>
        <w:trPr>
          <w:trHeight w:val="22"/>
        </w:trPr>
        <w:tc>
          <w:tcPr>
            <w:tcW w:w="50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80" w:type="dxa"/>
            <w:vAlign w:val="bottom"/>
            <w:tcBorders>
              <w:bottom w:val="single" w:sz="8" w:color="F1F2F2"/>
            </w:tcBorders>
            <w:shd w:val="clear" w:color="auto" w:fill="F1F2F2"/>
          </w:tcPr>
          <w:p>
            <w:pPr>
              <w:ind w:left="100"/>
              <w:spacing w:after="0"/>
              <w:rPr>
                <w:sz w:val="20"/>
                <w:szCs w:val="20"/>
                <w:color w:val="auto"/>
              </w:rPr>
            </w:pPr>
            <w:r>
              <w:rPr>
                <w:rFonts w:ascii="Arial" w:cs="Arial" w:eastAsia="Arial" w:hAnsi="Arial"/>
                <w:sz w:val="14"/>
                <w:szCs w:val="14"/>
                <w:color w:val="auto"/>
              </w:rPr>
              <w:t>Namsun Kim</w:t>
            </w:r>
          </w:p>
        </w:tc>
        <w:tc>
          <w:tcPr>
            <w:tcW w:w="1500" w:type="dxa"/>
            <w:vAlign w:val="bottom"/>
            <w:tcBorders>
              <w:bottom w:val="single" w:sz="8" w:color="F1F2F2"/>
            </w:tcBorders>
            <w:shd w:val="clear" w:color="auto" w:fill="F1F2F2"/>
          </w:tcPr>
          <w:p>
            <w:pPr>
              <w:jc w:val="right"/>
              <w:ind w:right="168"/>
              <w:spacing w:after="0"/>
              <w:rPr>
                <w:sz w:val="20"/>
                <w:szCs w:val="20"/>
                <w:color w:val="auto"/>
              </w:rPr>
            </w:pPr>
            <w:r>
              <w:rPr>
                <w:rFonts w:ascii="Arial" w:cs="Arial" w:eastAsia="Arial" w:hAnsi="Arial"/>
                <w:sz w:val="14"/>
                <w:szCs w:val="14"/>
                <w:color w:val="auto"/>
              </w:rPr>
              <w:t>7,195</w:t>
            </w:r>
          </w:p>
        </w:tc>
        <w:tc>
          <w:tcPr>
            <w:tcW w:w="1880" w:type="dxa"/>
            <w:vAlign w:val="bottom"/>
            <w:tcBorders>
              <w:bottom w:val="single" w:sz="8" w:color="F1F2F2"/>
            </w:tcBorders>
            <w:shd w:val="clear" w:color="auto" w:fill="F1F2F2"/>
          </w:tcPr>
          <w:p>
            <w:pPr>
              <w:jc w:val="right"/>
              <w:ind w:right="348"/>
              <w:spacing w:after="0"/>
              <w:rPr>
                <w:sz w:val="20"/>
                <w:szCs w:val="20"/>
                <w:color w:val="auto"/>
              </w:rPr>
            </w:pPr>
            <w:r>
              <w:rPr>
                <w:rFonts w:ascii="Arial" w:cs="Arial" w:eastAsia="Arial" w:hAnsi="Arial"/>
                <w:sz w:val="14"/>
                <w:szCs w:val="14"/>
                <w:color w:val="auto"/>
              </w:rPr>
              <w:t>21,000</w:t>
            </w:r>
          </w:p>
        </w:tc>
        <w:tc>
          <w:tcPr>
            <w:tcW w:w="1020" w:type="dxa"/>
            <w:vAlign w:val="bottom"/>
            <w:tcBorders>
              <w:bottom w:val="single" w:sz="8" w:color="F1F2F2"/>
            </w:tcBorders>
            <w:shd w:val="clear" w:color="auto" w:fill="F1F2F2"/>
          </w:tcPr>
          <w:p>
            <w:pPr>
              <w:jc w:val="right"/>
              <w:spacing w:after="0"/>
              <w:rPr>
                <w:sz w:val="20"/>
                <w:szCs w:val="20"/>
                <w:color w:val="auto"/>
              </w:rPr>
            </w:pPr>
            <w:r>
              <w:rPr>
                <w:rFonts w:ascii="Arial" w:cs="Arial" w:eastAsia="Arial" w:hAnsi="Arial"/>
                <w:sz w:val="14"/>
                <w:szCs w:val="14"/>
                <w:color w:val="auto"/>
              </w:rPr>
              <w:t>28,195</w:t>
            </w:r>
          </w:p>
        </w:tc>
        <w:tc>
          <w:tcPr>
            <w:tcW w:w="1760" w:type="dxa"/>
            <w:vAlign w:val="bottom"/>
            <w:tcBorders>
              <w:bottom w:val="single" w:sz="8" w:color="F1F2F2"/>
            </w:tcBorders>
            <w:shd w:val="clear" w:color="auto" w:fill="F1F2F2"/>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62"/>
        </w:trPr>
        <w:tc>
          <w:tcPr>
            <w:tcW w:w="5080" w:type="dxa"/>
            <w:vAlign w:val="bottom"/>
          </w:tcPr>
          <w:p>
            <w:pPr>
              <w:ind w:left="20"/>
              <w:spacing w:after="0"/>
              <w:rPr>
                <w:sz w:val="20"/>
                <w:szCs w:val="20"/>
                <w:color w:val="auto"/>
              </w:rPr>
            </w:pPr>
            <w:r>
              <w:rPr>
                <w:rFonts w:ascii="Arial" w:cs="Arial" w:eastAsia="Arial" w:hAnsi="Arial"/>
                <w:sz w:val="14"/>
                <w:szCs w:val="14"/>
                <w:b w:val="1"/>
                <w:bCs w:val="1"/>
                <w:color w:val="auto"/>
              </w:rPr>
              <w:t>50</w:t>
            </w:r>
          </w:p>
        </w:tc>
        <w:tc>
          <w:tcPr>
            <w:tcW w:w="15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14"/>
                <w:szCs w:val="14"/>
                <w:b w:val="1"/>
                <w:bCs w:val="1"/>
                <w:color w:val="auto"/>
              </w:rPr>
              <w:t>2026 Proxy Statement</w:t>
            </w:r>
          </w:p>
        </w:tc>
        <w:tc>
          <w:tcPr>
            <w:tcW w:w="0" w:type="dxa"/>
            <w:vAlign w:val="bottom"/>
          </w:tcPr>
          <w:p>
            <w:pPr>
              <w:spacing w:after="0"/>
              <w:rPr>
                <w:sz w:val="1"/>
                <w:szCs w:val="1"/>
                <w:color w:val="auto"/>
              </w:rPr>
            </w:pPr>
          </w:p>
        </w:tc>
      </w:tr>
      <w:tr>
        <w:trPr>
          <w:trHeight w:val="360"/>
        </w:trPr>
        <w:tc>
          <w:tcPr>
            <w:tcW w:w="508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-471170</wp:posOffset>
            </wp:positionV>
            <wp:extent cx="282575" cy="27432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82575" cy="27432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080" w:type="dxa"/>
            <w:vAlign w:val="bottom"/>
          </w:tcPr>
          <w:p>
            <w:pPr>
              <w:spacing w:after="0"/>
              <w:rPr>
                <w:sz w:val="17"/>
                <w:szCs w:val="17"/>
                <w:color w:val="auto"/>
              </w:rPr>
            </w:pPr>
          </w:p>
        </w:tc>
        <w:tc>
          <w:tcPr>
            <w:tcW w:w="3440" w:type="dxa"/>
            <w:vAlign w:val="bottom"/>
            <w:tcBorders>
              <w:bottom w:val="single" w:sz="8" w:color="auto"/>
            </w:tcBorders>
            <w:gridSpan w:val="2"/>
          </w:tcPr>
          <w:p>
            <w:pPr>
              <w:jc w:val="right"/>
              <w:ind w:right="248"/>
              <w:spacing w:after="0"/>
              <w:rPr>
                <w:sz w:val="20"/>
                <w:szCs w:val="20"/>
                <w:color w:val="auto"/>
              </w:rPr>
            </w:pPr>
            <w:r>
              <w:rPr>
                <w:rFonts w:ascii="Arial" w:cs="Arial" w:eastAsia="Arial" w:hAnsi="Arial"/>
                <w:sz w:val="14"/>
                <w:szCs w:val="14"/>
                <w:b w:val="1"/>
                <w:bCs w:val="1"/>
                <w:color w:val="auto"/>
              </w:rPr>
              <w:t>Shares Beneficially Owned</w:t>
            </w:r>
          </w:p>
        </w:tc>
        <w:tc>
          <w:tcPr>
            <w:tcW w:w="960" w:type="dxa"/>
            <w:vAlign w:val="bottom"/>
            <w:tcBorders>
              <w:bottom w:val="single" w:sz="8" w:color="auto"/>
            </w:tcBorders>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080" w:type="dxa"/>
            <w:vAlign w:val="bottom"/>
          </w:tcPr>
          <w:p>
            <w:pPr>
              <w:spacing w:after="0"/>
              <w:rPr>
                <w:sz w:val="16"/>
                <w:szCs w:val="16"/>
                <w:color w:val="auto"/>
              </w:rPr>
            </w:pPr>
          </w:p>
        </w:tc>
        <w:tc>
          <w:tcPr>
            <w:tcW w:w="150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Common</w:t>
            </w:r>
          </w:p>
        </w:tc>
        <w:tc>
          <w:tcPr>
            <w:tcW w:w="1940" w:type="dxa"/>
            <w:vAlign w:val="bottom"/>
          </w:tcPr>
          <w:p>
            <w:pPr>
              <w:jc w:val="right"/>
              <w:ind w:right="348"/>
              <w:spacing w:after="0"/>
              <w:rPr>
                <w:sz w:val="20"/>
                <w:szCs w:val="20"/>
                <w:color w:val="auto"/>
              </w:rPr>
            </w:pPr>
            <w:r>
              <w:rPr>
                <w:rFonts w:ascii="Arial" w:cs="Arial" w:eastAsia="Arial" w:hAnsi="Arial"/>
                <w:sz w:val="14"/>
                <w:szCs w:val="14"/>
                <w:b w:val="1"/>
                <w:bCs w:val="1"/>
                <w:color w:val="auto"/>
              </w:rPr>
              <w:t>Awards Vested and</w:t>
            </w:r>
          </w:p>
        </w:tc>
        <w:tc>
          <w:tcPr>
            <w:tcW w:w="9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080" w:type="dxa"/>
            <w:vAlign w:val="bottom"/>
          </w:tcPr>
          <w:p>
            <w:pPr>
              <w:spacing w:after="0"/>
              <w:rPr>
                <w:sz w:val="14"/>
                <w:szCs w:val="14"/>
                <w:color w:val="auto"/>
              </w:rPr>
            </w:pPr>
          </w:p>
        </w:tc>
        <w:tc>
          <w:tcPr>
            <w:tcW w:w="1500" w:type="dxa"/>
            <w:vAlign w:val="bottom"/>
            <w:vMerge w:val="continue"/>
          </w:tcPr>
          <w:p>
            <w:pPr>
              <w:spacing w:after="0"/>
              <w:rPr>
                <w:sz w:val="14"/>
                <w:szCs w:val="14"/>
                <w:color w:val="auto"/>
              </w:rPr>
            </w:pPr>
          </w:p>
        </w:tc>
        <w:tc>
          <w:tcPr>
            <w:tcW w:w="1940" w:type="dxa"/>
            <w:vAlign w:val="bottom"/>
          </w:tcPr>
          <w:p>
            <w:pPr>
              <w:jc w:val="right"/>
              <w:ind w:right="348"/>
              <w:spacing w:after="0"/>
              <w:rPr>
                <w:sz w:val="20"/>
                <w:szCs w:val="20"/>
                <w:color w:val="auto"/>
              </w:rPr>
            </w:pPr>
            <w:r>
              <w:rPr>
                <w:rFonts w:ascii="Arial" w:cs="Arial" w:eastAsia="Arial" w:hAnsi="Arial"/>
                <w:sz w:val="14"/>
                <w:szCs w:val="14"/>
                <w:b w:val="1"/>
                <w:bCs w:val="1"/>
                <w:color w:val="auto"/>
              </w:rPr>
              <w:t>Vesting Within 60</w:t>
            </w:r>
          </w:p>
        </w:tc>
        <w:tc>
          <w:tcPr>
            <w:tcW w:w="9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5"/>
        </w:trPr>
        <w:tc>
          <w:tcPr>
            <w:tcW w:w="5080" w:type="dxa"/>
            <w:vAlign w:val="bottom"/>
          </w:tcPr>
          <w:p>
            <w:pPr>
              <w:ind w:left="100"/>
              <w:spacing w:after="0"/>
              <w:rPr>
                <w:sz w:val="20"/>
                <w:szCs w:val="20"/>
                <w:color w:val="auto"/>
              </w:rPr>
            </w:pPr>
            <w:r>
              <w:rPr>
                <w:rFonts w:ascii="Arial" w:cs="Arial" w:eastAsia="Arial" w:hAnsi="Arial"/>
                <w:sz w:val="14"/>
                <w:szCs w:val="14"/>
                <w:b w:val="1"/>
                <w:bCs w:val="1"/>
                <w:color w:val="auto"/>
              </w:rPr>
              <w:t>Name of Beneficial Owner</w:t>
            </w:r>
          </w:p>
        </w:tc>
        <w:tc>
          <w:tcPr>
            <w:tcW w:w="1500" w:type="dxa"/>
            <w:vAlign w:val="bottom"/>
          </w:tcPr>
          <w:p>
            <w:pPr>
              <w:jc w:val="right"/>
              <w:ind w:right="128"/>
              <w:spacing w:after="0"/>
              <w:rPr>
                <w:sz w:val="20"/>
                <w:szCs w:val="20"/>
                <w:color w:val="auto"/>
              </w:rPr>
            </w:pPr>
            <w:r>
              <w:rPr>
                <w:rFonts w:ascii="Arial" w:cs="Arial" w:eastAsia="Arial" w:hAnsi="Arial"/>
                <w:sz w:val="14"/>
                <w:szCs w:val="14"/>
                <w:b w:val="1"/>
                <w:bCs w:val="1"/>
                <w:color w:val="auto"/>
              </w:rPr>
              <w:t>Stock</w:t>
            </w:r>
          </w:p>
        </w:tc>
        <w:tc>
          <w:tcPr>
            <w:tcW w:w="1940" w:type="dxa"/>
            <w:vAlign w:val="bottom"/>
          </w:tcPr>
          <w:p>
            <w:pPr>
              <w:jc w:val="right"/>
              <w:ind w:right="348"/>
              <w:spacing w:after="0"/>
              <w:rPr>
                <w:sz w:val="20"/>
                <w:szCs w:val="20"/>
                <w:color w:val="auto"/>
              </w:rPr>
            </w:pPr>
            <w:r>
              <w:rPr>
                <w:rFonts w:ascii="Arial" w:cs="Arial" w:eastAsia="Arial" w:hAnsi="Arial"/>
                <w:sz w:val="14"/>
                <w:szCs w:val="14"/>
                <w:b w:val="1"/>
                <w:bCs w:val="1"/>
                <w:color w:val="auto"/>
              </w:rPr>
              <w:t>Days</w:t>
            </w:r>
            <w:r>
              <w:rPr>
                <w:rFonts w:ascii="Arial" w:cs="Arial" w:eastAsia="Arial" w:hAnsi="Arial"/>
                <w:sz w:val="18"/>
                <w:szCs w:val="18"/>
                <w:b w:val="1"/>
                <w:bCs w:val="1"/>
                <w:color w:val="auto"/>
                <w:vertAlign w:val="superscript"/>
              </w:rPr>
              <w:t>(1)</w:t>
            </w:r>
          </w:p>
        </w:tc>
        <w:tc>
          <w:tcPr>
            <w:tcW w:w="2720" w:type="dxa"/>
            <w:vAlign w:val="bottom"/>
            <w:gridSpan w:val="2"/>
          </w:tcPr>
          <w:p>
            <w:pPr>
              <w:jc w:val="right"/>
              <w:ind w:right="88"/>
              <w:spacing w:after="0"/>
              <w:rPr>
                <w:sz w:val="20"/>
                <w:szCs w:val="20"/>
                <w:color w:val="auto"/>
              </w:rPr>
            </w:pPr>
            <w:r>
              <w:rPr>
                <w:rFonts w:ascii="Arial" w:cs="Arial" w:eastAsia="Arial" w:hAnsi="Arial"/>
                <w:sz w:val="14"/>
                <w:szCs w:val="14"/>
                <w:b w:val="1"/>
                <w:bCs w:val="1"/>
                <w:color w:val="auto"/>
              </w:rPr>
              <w:t>Total Percentage Ownership</w:t>
            </w:r>
          </w:p>
        </w:tc>
        <w:tc>
          <w:tcPr>
            <w:tcW w:w="0" w:type="dxa"/>
            <w:vAlign w:val="bottom"/>
          </w:tcPr>
          <w:p>
            <w:pPr>
              <w:spacing w:after="0"/>
              <w:rPr>
                <w:sz w:val="1"/>
                <w:szCs w:val="1"/>
                <w:color w:val="auto"/>
              </w:rPr>
            </w:pPr>
          </w:p>
        </w:tc>
      </w:tr>
      <w:tr>
        <w:trPr>
          <w:trHeight w:val="250"/>
        </w:trPr>
        <w:tc>
          <w:tcPr>
            <w:tcW w:w="5080" w:type="dxa"/>
            <w:vAlign w:val="bottom"/>
          </w:tcPr>
          <w:p>
            <w:pPr>
              <w:ind w:left="100"/>
              <w:spacing w:after="0"/>
              <w:rPr>
                <w:sz w:val="20"/>
                <w:szCs w:val="20"/>
                <w:color w:val="auto"/>
              </w:rPr>
            </w:pPr>
            <w:r>
              <w:rPr>
                <w:rFonts w:ascii="Arial" w:cs="Arial" w:eastAsia="Arial" w:hAnsi="Arial"/>
                <w:sz w:val="14"/>
                <w:szCs w:val="14"/>
                <w:color w:val="auto"/>
              </w:rPr>
              <w:t>Jun Masuda</w:t>
            </w:r>
          </w:p>
        </w:tc>
        <w:tc>
          <w:tcPr>
            <w:tcW w:w="15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94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7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50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80" w:type="dxa"/>
            <w:vAlign w:val="bottom"/>
            <w:tcBorders>
              <w:bottom w:val="single" w:sz="8" w:color="F1F2F2"/>
            </w:tcBorders>
            <w:shd w:val="clear" w:color="auto" w:fill="F1F2F2"/>
          </w:tcPr>
          <w:p>
            <w:pPr>
              <w:ind w:left="100"/>
              <w:spacing w:after="0"/>
              <w:rPr>
                <w:sz w:val="20"/>
                <w:szCs w:val="20"/>
                <w:color w:val="auto"/>
              </w:rPr>
            </w:pPr>
            <w:r>
              <w:rPr>
                <w:rFonts w:ascii="Arial" w:cs="Arial" w:eastAsia="Arial" w:hAnsi="Arial"/>
                <w:sz w:val="14"/>
                <w:szCs w:val="14"/>
                <w:color w:val="auto"/>
              </w:rPr>
              <w:t>Isabelle Winkles</w:t>
            </w:r>
          </w:p>
        </w:tc>
        <w:tc>
          <w:tcPr>
            <w:tcW w:w="1500" w:type="dxa"/>
            <w:vAlign w:val="bottom"/>
            <w:tcBorders>
              <w:bottom w:val="single" w:sz="8" w:color="F1F2F2"/>
            </w:tcBorders>
            <w:shd w:val="clear" w:color="auto" w:fill="F1F2F2"/>
          </w:tcPr>
          <w:p>
            <w:pPr>
              <w:jc w:val="right"/>
              <w:ind w:right="168"/>
              <w:spacing w:after="0"/>
              <w:rPr>
                <w:sz w:val="20"/>
                <w:szCs w:val="20"/>
                <w:color w:val="auto"/>
              </w:rPr>
            </w:pPr>
            <w:r>
              <w:rPr>
                <w:rFonts w:ascii="Arial" w:cs="Arial" w:eastAsia="Arial" w:hAnsi="Arial"/>
                <w:sz w:val="14"/>
                <w:szCs w:val="14"/>
                <w:color w:val="auto"/>
              </w:rPr>
              <w:t>12,915</w:t>
            </w:r>
          </w:p>
        </w:tc>
        <w:tc>
          <w:tcPr>
            <w:tcW w:w="1940" w:type="dxa"/>
            <w:vAlign w:val="bottom"/>
            <w:tcBorders>
              <w:bottom w:val="single" w:sz="8" w:color="F1F2F2"/>
            </w:tcBorders>
            <w:shd w:val="clear" w:color="auto" w:fill="F1F2F2"/>
          </w:tcPr>
          <w:p>
            <w:pPr>
              <w:jc w:val="right"/>
              <w:ind w:right="408"/>
              <w:spacing w:after="0"/>
              <w:rPr>
                <w:sz w:val="20"/>
                <w:szCs w:val="20"/>
                <w:color w:val="auto"/>
              </w:rPr>
            </w:pPr>
            <w:r>
              <w:rPr>
                <w:rFonts w:ascii="Arial" w:cs="Arial" w:eastAsia="Arial" w:hAnsi="Arial"/>
                <w:sz w:val="14"/>
                <w:szCs w:val="14"/>
                <w:color w:val="auto"/>
              </w:rPr>
              <w:t>1,845</w:t>
            </w:r>
          </w:p>
        </w:tc>
        <w:tc>
          <w:tcPr>
            <w:tcW w:w="960" w:type="dxa"/>
            <w:vAlign w:val="bottom"/>
            <w:tcBorders>
              <w:bottom w:val="single" w:sz="8" w:color="F1F2F2"/>
            </w:tcBorders>
            <w:shd w:val="clear" w:color="auto" w:fill="F1F2F2"/>
          </w:tcPr>
          <w:p>
            <w:pPr>
              <w:jc w:val="right"/>
              <w:spacing w:after="0"/>
              <w:rPr>
                <w:sz w:val="20"/>
                <w:szCs w:val="20"/>
                <w:color w:val="auto"/>
              </w:rPr>
            </w:pPr>
            <w:r>
              <w:rPr>
                <w:rFonts w:ascii="Arial" w:cs="Arial" w:eastAsia="Arial" w:hAnsi="Arial"/>
                <w:sz w:val="14"/>
                <w:szCs w:val="14"/>
                <w:color w:val="auto"/>
              </w:rPr>
              <w:t>14,760</w:t>
            </w:r>
          </w:p>
        </w:tc>
        <w:tc>
          <w:tcPr>
            <w:tcW w:w="1760" w:type="dxa"/>
            <w:vAlign w:val="bottom"/>
            <w:tcBorders>
              <w:bottom w:val="single" w:sz="8" w:color="F1F2F2"/>
            </w:tcBorders>
            <w:shd w:val="clear" w:color="auto" w:fill="F1F2F2"/>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5080" w:type="dxa"/>
            <w:vAlign w:val="bottom"/>
          </w:tcPr>
          <w:p>
            <w:pPr>
              <w:ind w:left="100"/>
              <w:spacing w:after="0"/>
              <w:rPr>
                <w:sz w:val="20"/>
                <w:szCs w:val="20"/>
                <w:color w:val="auto"/>
              </w:rPr>
            </w:pPr>
            <w:r>
              <w:rPr>
                <w:rFonts w:ascii="Arial" w:cs="Arial" w:eastAsia="Arial" w:hAnsi="Arial"/>
                <w:sz w:val="14"/>
                <w:szCs w:val="14"/>
                <w:color w:val="auto"/>
              </w:rPr>
              <w:t>Nancy Dubuc</w:t>
            </w:r>
          </w:p>
        </w:tc>
        <w:tc>
          <w:tcPr>
            <w:tcW w:w="1500" w:type="dxa"/>
            <w:vAlign w:val="bottom"/>
          </w:tcPr>
          <w:p>
            <w:pPr>
              <w:jc w:val="right"/>
              <w:ind w:right="128"/>
              <w:spacing w:after="0"/>
              <w:rPr>
                <w:sz w:val="20"/>
                <w:szCs w:val="20"/>
                <w:color w:val="auto"/>
              </w:rPr>
            </w:pPr>
            <w:r>
              <w:rPr>
                <w:rFonts w:ascii="Arial" w:cs="Arial" w:eastAsia="Arial" w:hAnsi="Arial"/>
                <w:sz w:val="14"/>
                <w:szCs w:val="14"/>
                <w:color w:val="auto"/>
              </w:rPr>
              <w:t>11,672</w:t>
            </w:r>
          </w:p>
        </w:tc>
        <w:tc>
          <w:tcPr>
            <w:tcW w:w="1940" w:type="dxa"/>
            <w:vAlign w:val="bottom"/>
          </w:tcPr>
          <w:p>
            <w:pPr>
              <w:jc w:val="right"/>
              <w:ind w:right="348"/>
              <w:spacing w:after="0"/>
              <w:rPr>
                <w:sz w:val="20"/>
                <w:szCs w:val="20"/>
                <w:color w:val="auto"/>
              </w:rPr>
            </w:pPr>
            <w:r>
              <w:rPr>
                <w:rFonts w:ascii="Arial" w:cs="Arial" w:eastAsia="Arial" w:hAnsi="Arial"/>
                <w:sz w:val="14"/>
                <w:szCs w:val="14"/>
                <w:color w:val="auto"/>
              </w:rPr>
              <w:t>1,668</w:t>
            </w:r>
          </w:p>
        </w:tc>
        <w:tc>
          <w:tcPr>
            <w:tcW w:w="960" w:type="dxa"/>
            <w:vAlign w:val="bottom"/>
          </w:tcPr>
          <w:p>
            <w:pPr>
              <w:jc w:val="right"/>
              <w:spacing w:after="0"/>
              <w:rPr>
                <w:sz w:val="20"/>
                <w:szCs w:val="20"/>
                <w:color w:val="auto"/>
              </w:rPr>
            </w:pPr>
            <w:r>
              <w:rPr>
                <w:rFonts w:ascii="Arial" w:cs="Arial" w:eastAsia="Arial" w:hAnsi="Arial"/>
                <w:sz w:val="14"/>
                <w:szCs w:val="14"/>
                <w:color w:val="auto"/>
              </w:rPr>
              <w:t>13,340</w:t>
            </w:r>
          </w:p>
        </w:tc>
        <w:tc>
          <w:tcPr>
            <w:tcW w:w="17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50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80" w:type="dxa"/>
            <w:vAlign w:val="bottom"/>
            <w:tcBorders>
              <w:bottom w:val="single" w:sz="8" w:color="F1F2F2"/>
            </w:tcBorders>
            <w:shd w:val="clear" w:color="auto" w:fill="F1F2F2"/>
          </w:tcPr>
          <w:p>
            <w:pPr>
              <w:ind w:left="100"/>
              <w:spacing w:after="0"/>
              <w:rPr>
                <w:sz w:val="20"/>
                <w:szCs w:val="20"/>
                <w:color w:val="auto"/>
              </w:rPr>
            </w:pPr>
            <w:r>
              <w:rPr>
                <w:rFonts w:ascii="Arial" w:cs="Arial" w:eastAsia="Arial" w:hAnsi="Arial"/>
                <w:sz w:val="14"/>
                <w:szCs w:val="14"/>
                <w:color w:val="auto"/>
              </w:rPr>
              <w:t>Saeju Jeong</w:t>
            </w:r>
          </w:p>
        </w:tc>
        <w:tc>
          <w:tcPr>
            <w:tcW w:w="1500" w:type="dxa"/>
            <w:vAlign w:val="bottom"/>
            <w:tcBorders>
              <w:bottom w:val="single" w:sz="8" w:color="F1F2F2"/>
            </w:tcBorders>
            <w:shd w:val="clear" w:color="auto" w:fill="F1F2F2"/>
          </w:tcPr>
          <w:p>
            <w:pPr>
              <w:jc w:val="right"/>
              <w:ind w:right="128"/>
              <w:spacing w:after="0"/>
              <w:rPr>
                <w:sz w:val="20"/>
                <w:szCs w:val="20"/>
                <w:color w:val="auto"/>
              </w:rPr>
            </w:pPr>
            <w:r>
              <w:rPr>
                <w:rFonts w:ascii="Arial" w:cs="Arial" w:eastAsia="Arial" w:hAnsi="Arial"/>
                <w:sz w:val="14"/>
                <w:szCs w:val="14"/>
                <w:color w:val="auto"/>
              </w:rPr>
              <w:t>12,122</w:t>
            </w:r>
          </w:p>
        </w:tc>
        <w:tc>
          <w:tcPr>
            <w:tcW w:w="1940" w:type="dxa"/>
            <w:vAlign w:val="bottom"/>
            <w:tcBorders>
              <w:bottom w:val="single" w:sz="8" w:color="F1F2F2"/>
            </w:tcBorders>
            <w:shd w:val="clear" w:color="auto" w:fill="F1F2F2"/>
          </w:tcPr>
          <w:p>
            <w:pPr>
              <w:jc w:val="right"/>
              <w:ind w:right="4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F1F2F2"/>
            </w:tcBorders>
            <w:shd w:val="clear" w:color="auto" w:fill="F1F2F2"/>
          </w:tcPr>
          <w:p>
            <w:pPr>
              <w:jc w:val="right"/>
              <w:spacing w:after="0"/>
              <w:rPr>
                <w:sz w:val="20"/>
                <w:szCs w:val="20"/>
                <w:color w:val="auto"/>
              </w:rPr>
            </w:pPr>
            <w:r>
              <w:rPr>
                <w:rFonts w:ascii="Arial" w:cs="Arial" w:eastAsia="Arial" w:hAnsi="Arial"/>
                <w:sz w:val="14"/>
                <w:szCs w:val="14"/>
                <w:color w:val="auto"/>
              </w:rPr>
              <w:t>12,122</w:t>
            </w:r>
          </w:p>
        </w:tc>
        <w:tc>
          <w:tcPr>
            <w:tcW w:w="1760" w:type="dxa"/>
            <w:vAlign w:val="bottom"/>
            <w:tcBorders>
              <w:bottom w:val="single" w:sz="8" w:color="F1F2F2"/>
            </w:tcBorders>
            <w:shd w:val="clear" w:color="auto" w:fill="F1F2F2"/>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5080" w:type="dxa"/>
            <w:vAlign w:val="bottom"/>
          </w:tcPr>
          <w:p>
            <w:pPr>
              <w:ind w:left="100"/>
              <w:spacing w:after="0"/>
              <w:rPr>
                <w:sz w:val="20"/>
                <w:szCs w:val="20"/>
                <w:color w:val="auto"/>
              </w:rPr>
            </w:pPr>
            <w:r>
              <w:rPr>
                <w:rFonts w:ascii="Arial" w:cs="Arial" w:eastAsia="Arial" w:hAnsi="Arial"/>
                <w:sz w:val="14"/>
                <w:szCs w:val="14"/>
                <w:color w:val="auto"/>
              </w:rPr>
              <w:t>Chankyu Park**</w:t>
            </w:r>
          </w:p>
        </w:tc>
        <w:tc>
          <w:tcPr>
            <w:tcW w:w="1500" w:type="dxa"/>
            <w:vAlign w:val="bottom"/>
          </w:tcPr>
          <w:p>
            <w:pPr>
              <w:jc w:val="right"/>
              <w:ind w:right="128"/>
              <w:spacing w:after="0"/>
              <w:rPr>
                <w:sz w:val="20"/>
                <w:szCs w:val="20"/>
                <w:color w:val="auto"/>
              </w:rPr>
            </w:pPr>
            <w:r>
              <w:rPr>
                <w:rFonts w:ascii="Arial" w:cs="Arial" w:eastAsia="Arial" w:hAnsi="Arial"/>
                <w:sz w:val="14"/>
                <w:szCs w:val="14"/>
                <w:color w:val="auto"/>
              </w:rPr>
              <w:t>44,614</w:t>
            </w:r>
          </w:p>
        </w:tc>
        <w:tc>
          <w:tcPr>
            <w:tcW w:w="1940" w:type="dxa"/>
            <w:vAlign w:val="bottom"/>
          </w:tcPr>
          <w:p>
            <w:pPr>
              <w:jc w:val="right"/>
              <w:ind w:right="408"/>
              <w:spacing w:after="0"/>
              <w:rPr>
                <w:sz w:val="20"/>
                <w:szCs w:val="20"/>
                <w:color w:val="auto"/>
              </w:rPr>
            </w:pPr>
            <w:r>
              <w:rPr>
                <w:rFonts w:ascii="Arial" w:cs="Arial" w:eastAsia="Arial" w:hAnsi="Arial"/>
                <w:sz w:val="14"/>
                <w:szCs w:val="14"/>
                <w:color w:val="auto"/>
              </w:rPr>
              <w:t>87,993</w:t>
            </w:r>
          </w:p>
        </w:tc>
        <w:tc>
          <w:tcPr>
            <w:tcW w:w="960" w:type="dxa"/>
            <w:vAlign w:val="bottom"/>
          </w:tcPr>
          <w:p>
            <w:pPr>
              <w:jc w:val="right"/>
              <w:spacing w:after="0"/>
              <w:rPr>
                <w:sz w:val="20"/>
                <w:szCs w:val="20"/>
                <w:color w:val="auto"/>
              </w:rPr>
            </w:pPr>
            <w:r>
              <w:rPr>
                <w:rFonts w:ascii="Arial" w:cs="Arial" w:eastAsia="Arial" w:hAnsi="Arial"/>
                <w:sz w:val="14"/>
                <w:szCs w:val="14"/>
                <w:color w:val="auto"/>
              </w:rPr>
              <w:t>132,607</w:t>
            </w:r>
          </w:p>
        </w:tc>
        <w:tc>
          <w:tcPr>
            <w:tcW w:w="17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50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80" w:type="dxa"/>
            <w:vAlign w:val="bottom"/>
            <w:tcBorders>
              <w:bottom w:val="single" w:sz="8" w:color="F1F2F2"/>
            </w:tcBorders>
            <w:shd w:val="clear" w:color="auto" w:fill="F1F2F2"/>
          </w:tcPr>
          <w:p>
            <w:pPr>
              <w:ind w:left="100"/>
              <w:spacing w:after="0"/>
              <w:rPr>
                <w:sz w:val="20"/>
                <w:szCs w:val="20"/>
                <w:color w:val="auto"/>
              </w:rPr>
            </w:pPr>
            <w:r>
              <w:rPr>
                <w:rFonts w:ascii="Arial" w:cs="Arial" w:eastAsia="Arial" w:hAnsi="Arial"/>
                <w:sz w:val="14"/>
                <w:szCs w:val="14"/>
                <w:color w:val="auto"/>
              </w:rPr>
              <w:t>All directors and executive officers, as a group (11 individuals)</w:t>
            </w:r>
          </w:p>
        </w:tc>
        <w:tc>
          <w:tcPr>
            <w:tcW w:w="1500" w:type="dxa"/>
            <w:vAlign w:val="bottom"/>
            <w:tcBorders>
              <w:bottom w:val="single" w:sz="8" w:color="F1F2F2"/>
            </w:tcBorders>
            <w:shd w:val="clear" w:color="auto" w:fill="F1F2F2"/>
          </w:tcPr>
          <w:p>
            <w:pPr>
              <w:jc w:val="right"/>
              <w:ind w:right="128"/>
              <w:spacing w:after="0"/>
              <w:rPr>
                <w:sz w:val="20"/>
                <w:szCs w:val="20"/>
                <w:color w:val="auto"/>
              </w:rPr>
            </w:pPr>
            <w:r>
              <w:rPr>
                <w:rFonts w:ascii="Arial" w:cs="Arial" w:eastAsia="Arial" w:hAnsi="Arial"/>
                <w:sz w:val="14"/>
                <w:szCs w:val="14"/>
                <w:color w:val="auto"/>
              </w:rPr>
              <w:t>804,357</w:t>
            </w:r>
          </w:p>
        </w:tc>
        <w:tc>
          <w:tcPr>
            <w:tcW w:w="1940" w:type="dxa"/>
            <w:vAlign w:val="bottom"/>
            <w:tcBorders>
              <w:bottom w:val="single" w:sz="8" w:color="F1F2F2"/>
            </w:tcBorders>
            <w:shd w:val="clear" w:color="auto" w:fill="F1F2F2"/>
          </w:tcPr>
          <w:p>
            <w:pPr>
              <w:jc w:val="right"/>
              <w:ind w:right="348"/>
              <w:spacing w:after="0"/>
              <w:rPr>
                <w:sz w:val="20"/>
                <w:szCs w:val="20"/>
                <w:color w:val="auto"/>
              </w:rPr>
            </w:pPr>
            <w:r>
              <w:rPr>
                <w:rFonts w:ascii="Arial" w:cs="Arial" w:eastAsia="Arial" w:hAnsi="Arial"/>
                <w:sz w:val="14"/>
                <w:szCs w:val="14"/>
                <w:color w:val="auto"/>
              </w:rPr>
              <w:t>7,154,221</w:t>
            </w:r>
          </w:p>
        </w:tc>
        <w:tc>
          <w:tcPr>
            <w:tcW w:w="960" w:type="dxa"/>
            <w:vAlign w:val="bottom"/>
            <w:tcBorders>
              <w:bottom w:val="single" w:sz="8" w:color="F1F2F2"/>
            </w:tcBorders>
            <w:shd w:val="clear" w:color="auto" w:fill="F1F2F2"/>
          </w:tcPr>
          <w:p>
            <w:pPr>
              <w:jc w:val="right"/>
              <w:spacing w:after="0"/>
              <w:rPr>
                <w:sz w:val="20"/>
                <w:szCs w:val="20"/>
                <w:color w:val="auto"/>
              </w:rPr>
            </w:pPr>
            <w:r>
              <w:rPr>
                <w:rFonts w:ascii="Arial" w:cs="Arial" w:eastAsia="Arial" w:hAnsi="Arial"/>
                <w:sz w:val="14"/>
                <w:szCs w:val="14"/>
                <w:color w:val="auto"/>
              </w:rPr>
              <w:t>7,958,578</w:t>
            </w:r>
          </w:p>
        </w:tc>
        <w:tc>
          <w:tcPr>
            <w:tcW w:w="1760" w:type="dxa"/>
            <w:vAlign w:val="bottom"/>
            <w:tcBorders>
              <w:bottom w:val="single" w:sz="8" w:color="F1F2F2"/>
            </w:tcBorders>
            <w:shd w:val="clear" w:color="auto" w:fill="F1F2F2"/>
          </w:tcPr>
          <w:p>
            <w:pPr>
              <w:jc w:val="right"/>
              <w:ind w:right="88"/>
              <w:spacing w:after="0"/>
              <w:rPr>
                <w:sz w:val="20"/>
                <w:szCs w:val="20"/>
                <w:color w:val="auto"/>
              </w:rPr>
            </w:pPr>
            <w:r>
              <w:rPr>
                <w:rFonts w:ascii="Arial" w:cs="Arial" w:eastAsia="Arial" w:hAnsi="Arial"/>
                <w:sz w:val="14"/>
                <w:szCs w:val="14"/>
                <w:color w:val="auto"/>
              </w:rPr>
              <w:t>5.61 %</w:t>
            </w:r>
          </w:p>
        </w:tc>
        <w:tc>
          <w:tcPr>
            <w:tcW w:w="0" w:type="dxa"/>
            <w:vAlign w:val="bottom"/>
          </w:tcPr>
          <w:p>
            <w:pPr>
              <w:spacing w:after="0"/>
              <w:rPr>
                <w:sz w:val="1"/>
                <w:szCs w:val="1"/>
                <w:color w:val="auto"/>
              </w:rPr>
            </w:pPr>
          </w:p>
        </w:tc>
      </w:tr>
      <w:tr>
        <w:trPr>
          <w:trHeight w:val="20"/>
        </w:trPr>
        <w:tc>
          <w:tcPr>
            <w:tcW w:w="508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ind w:right="4720" w:firstLine="8"/>
        <w:spacing w:after="0" w:line="322" w:lineRule="auto"/>
        <w:tabs>
          <w:tab w:leader="none" w:pos="312" w:val="left"/>
        </w:tabs>
        <w:numPr>
          <w:ilvl w:val="0"/>
          <w:numId w:val="39"/>
        </w:numPr>
        <w:rPr>
          <w:rFonts w:ascii="Arial" w:cs="Arial" w:eastAsia="Arial" w:hAnsi="Arial"/>
          <w:sz w:val="14"/>
          <w:szCs w:val="14"/>
          <w:color w:val="auto"/>
        </w:rPr>
      </w:pPr>
      <w:r>
        <w:rPr>
          <w:rFonts w:ascii="Arial" w:cs="Arial" w:eastAsia="Arial" w:hAnsi="Arial"/>
          <w:sz w:val="14"/>
          <w:szCs w:val="14"/>
          <w:color w:val="auto"/>
        </w:rPr>
        <w:t>Represents beneficial ownership of less than one percent (1%) of our outstanding common stock. ** Denotes former named executive officer.</w:t>
      </w:r>
    </w:p>
    <w:p>
      <w:pPr>
        <w:ind w:left="340" w:right="100" w:hanging="332"/>
        <w:spacing w:after="0" w:line="252" w:lineRule="auto"/>
        <w:tabs>
          <w:tab w:leader="none" w:pos="338" w:val="left"/>
        </w:tabs>
        <w:numPr>
          <w:ilvl w:val="0"/>
          <w:numId w:val="40"/>
        </w:numPr>
        <w:rPr>
          <w:rFonts w:ascii="Arial" w:cs="Arial" w:eastAsia="Arial" w:hAnsi="Arial"/>
          <w:sz w:val="14"/>
          <w:szCs w:val="14"/>
          <w:color w:val="auto"/>
        </w:rPr>
      </w:pPr>
      <w:r>
        <w:rPr>
          <w:rFonts w:ascii="Arial" w:cs="Arial" w:eastAsia="Arial" w:hAnsi="Arial"/>
          <w:sz w:val="14"/>
          <w:szCs w:val="14"/>
          <w:color w:val="auto"/>
        </w:rPr>
        <w:t>Represents the shares underlying options that are exercisable within 60 days of April 10, 2026 and/or shares underlying RSUs that will vest within 60 days of April 10, 2026. These numbers include: Junkoo Kim: 3,461,670 option shares and 53,544 RSUs, Yongsoo Kim: 15,630 option shares and 53,755 RSUs, David J. Lee: 494,174 option shares and 24,965 RSUs, Hyeeun Son: 44,160 option shares and 27,087 RSUs, Haejin Lee: 2,832,270 option shares, Namsun Kim: 21,000 option shares, Isabelle Winkles: 1,845 RSUs, Nancy Dubuc: 1,668 RSUs, Chankyu Park: 57,060 option shares and 30,933 RSUs, and all directors and executive officers as a group: 6,951,884 option shares and 202,337 RSUs.</w:t>
      </w:r>
    </w:p>
    <w:p>
      <w:pPr>
        <w:spacing w:after="0" w:line="86" w:lineRule="exact"/>
        <w:rPr>
          <w:rFonts w:ascii="Arial" w:cs="Arial" w:eastAsia="Arial" w:hAnsi="Arial"/>
          <w:sz w:val="14"/>
          <w:szCs w:val="14"/>
          <w:color w:val="auto"/>
        </w:rPr>
      </w:pPr>
    </w:p>
    <w:p>
      <w:pPr>
        <w:ind w:left="340" w:right="100" w:hanging="332"/>
        <w:spacing w:after="0" w:line="267" w:lineRule="auto"/>
        <w:tabs>
          <w:tab w:leader="none" w:pos="338" w:val="left"/>
        </w:tabs>
        <w:numPr>
          <w:ilvl w:val="0"/>
          <w:numId w:val="40"/>
        </w:numPr>
        <w:rPr>
          <w:rFonts w:ascii="Arial" w:cs="Arial" w:eastAsia="Arial" w:hAnsi="Arial"/>
          <w:sz w:val="14"/>
          <w:szCs w:val="14"/>
          <w:color w:val="auto"/>
        </w:rPr>
      </w:pPr>
      <w:r>
        <w:rPr>
          <w:rFonts w:ascii="Arial" w:cs="Arial" w:eastAsia="Arial" w:hAnsi="Arial"/>
          <w:sz w:val="14"/>
          <w:szCs w:val="14"/>
          <w:color w:val="auto"/>
        </w:rPr>
        <w:t>NAVER and LY Corporation are each governed and controlled by a board of directors of more than three members. Each director has one vote, and the approval of a majority or a supermajority is required to approve an action. Under the so-called “rule of three,” if voting and dispositive decisions regarding an entity’s securities are made by a majority comprised of two or more individuals of a three-member (or greater) board, and a voting and dispositive decision requires the approval of a majority of those individuals, none of the individuals is deemed a beneficial owner of the entity’s securities. Based on the foregoing, no person exercises voting or dispositive control over any of the securities held by NAVER and LY Corporation, as applicable.</w:t>
      </w:r>
    </w:p>
    <w:p>
      <w:pPr>
        <w:spacing w:after="0" w:line="8" w:lineRule="exact"/>
        <w:rPr>
          <w:rFonts w:ascii="Arial" w:cs="Arial" w:eastAsia="Arial" w:hAnsi="Arial"/>
          <w:sz w:val="14"/>
          <w:szCs w:val="14"/>
          <w:color w:val="auto"/>
        </w:rPr>
      </w:pPr>
    </w:p>
    <w:p>
      <w:pPr>
        <w:ind w:left="340" w:right="660" w:hanging="332"/>
        <w:spacing w:after="0" w:line="285" w:lineRule="auto"/>
        <w:tabs>
          <w:tab w:leader="none" w:pos="338"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address of NAVER is NAVER 1784, 95 Jeongjail-ro, Bundang-gu, Seongnam-si, Gyeonggi-do, Republic of Korea, 13561. Shares beneficially owned includes 2,380,952 shares owned by NAVER U.Hub Inc., a fully owned direct subsidiary of NAVER.</w:t>
      </w:r>
    </w:p>
    <w:p>
      <w:pPr>
        <w:spacing w:after="0" w:line="49" w:lineRule="exact"/>
        <w:rPr>
          <w:rFonts w:ascii="Arial" w:cs="Arial" w:eastAsia="Arial" w:hAnsi="Arial"/>
          <w:sz w:val="14"/>
          <w:szCs w:val="14"/>
          <w:color w:val="auto"/>
        </w:rPr>
      </w:pPr>
    </w:p>
    <w:p>
      <w:pPr>
        <w:ind w:left="340" w:hanging="332"/>
        <w:spacing w:after="0"/>
        <w:tabs>
          <w:tab w:leader="none" w:pos="3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address of LY Corporation is 1-3 Koicho, Chiyoda-ku, Tokyo, Japan, 102-8282.</w:t>
      </w:r>
    </w:p>
    <w:p>
      <w:pPr>
        <w:spacing w:after="0" w:line="122" w:lineRule="exact"/>
        <w:rPr>
          <w:rFonts w:ascii="Arial" w:cs="Arial" w:eastAsia="Arial" w:hAnsi="Arial"/>
          <w:sz w:val="14"/>
          <w:szCs w:val="14"/>
          <w:color w:val="auto"/>
        </w:rPr>
      </w:pPr>
    </w:p>
    <w:p>
      <w:pPr>
        <w:ind w:left="340" w:right="240" w:hanging="332"/>
        <w:spacing w:after="0" w:line="305" w:lineRule="auto"/>
        <w:tabs>
          <w:tab w:leader="none" w:pos="338" w:val="left"/>
        </w:tabs>
        <w:numPr>
          <w:ilvl w:val="0"/>
          <w:numId w:val="40"/>
        </w:numPr>
        <w:rPr>
          <w:rFonts w:ascii="Arial" w:cs="Arial" w:eastAsia="Arial" w:hAnsi="Arial"/>
          <w:sz w:val="14"/>
          <w:szCs w:val="14"/>
          <w:color w:val="auto"/>
        </w:rPr>
      </w:pPr>
      <w:r>
        <w:rPr>
          <w:rFonts w:ascii="Arial" w:cs="Arial" w:eastAsia="Arial" w:hAnsi="Arial"/>
          <w:sz w:val="14"/>
          <w:szCs w:val="14"/>
          <w:color w:val="auto"/>
        </w:rPr>
        <w:t>Based solely on a Schedule 13G/A filed on December 5, 2025 reporting stock ownership as of November 28, 2025. FMR LLC reported that it has sole voting power and sole dispositive power with respect to all of its shares of common stock. The address of FMR LLC is 245 Summer Street, Boston, Massachusetts 02210.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260350</wp:posOffset>
            </wp:positionV>
            <wp:extent cx="282575" cy="27432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82575" cy="27432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280" w:type="dxa"/>
            <w:vAlign w:val="bottom"/>
          </w:tcPr>
          <w:p>
            <w:pPr>
              <w:ind w:left="20"/>
              <w:spacing w:after="0"/>
              <w:rPr>
                <w:sz w:val="20"/>
                <w:szCs w:val="20"/>
                <w:color w:val="auto"/>
              </w:rPr>
            </w:pPr>
            <w:r>
              <w:rPr>
                <w:rFonts w:ascii="Arial" w:cs="Arial" w:eastAsia="Arial" w:hAnsi="Arial"/>
                <w:sz w:val="14"/>
                <w:szCs w:val="14"/>
                <w:b w:val="1"/>
                <w:bCs w:val="1"/>
                <w:color w:val="auto"/>
              </w:rPr>
              <w:t>2026 Proxy Statement</w:t>
            </w:r>
          </w:p>
        </w:tc>
        <w:tc>
          <w:tcPr>
            <w:tcW w:w="4960" w:type="dxa"/>
            <w:vAlign w:val="bottom"/>
          </w:tcPr>
          <w:p>
            <w:pPr>
              <w:jc w:val="right"/>
              <w:spacing w:after="0"/>
              <w:rPr>
                <w:sz w:val="20"/>
                <w:szCs w:val="20"/>
                <w:color w:val="auto"/>
              </w:rPr>
            </w:pPr>
            <w:r>
              <w:rPr>
                <w:rFonts w:ascii="Arial" w:cs="Arial" w:eastAsia="Arial" w:hAnsi="Arial"/>
                <w:sz w:val="14"/>
                <w:szCs w:val="14"/>
                <w:b w:val="1"/>
                <w:bCs w:val="1"/>
                <w:color w:val="auto"/>
              </w:rPr>
              <w:t>51</w:t>
            </w:r>
          </w:p>
        </w:tc>
      </w:tr>
      <w:tr>
        <w:trPr>
          <w:trHeight w:val="360"/>
        </w:trPr>
        <w:tc>
          <w:tcPr>
            <w:tcW w:w="6280" w:type="dxa"/>
            <w:vAlign w:val="bottom"/>
            <w:tcBorders>
              <w:bottom w:val="single" w:sz="8" w:color="9A9A9A"/>
            </w:tcBorders>
          </w:tcPr>
          <w:p>
            <w:pPr>
              <w:spacing w:after="0"/>
              <w:rPr>
                <w:sz w:val="24"/>
                <w:szCs w:val="24"/>
                <w:color w:val="auto"/>
              </w:rPr>
            </w:pPr>
          </w:p>
        </w:tc>
        <w:tc>
          <w:tcPr>
            <w:tcW w:w="4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6"/>
          <w:szCs w:val="16"/>
          <w:color w:val="auto"/>
        </w:rPr>
        <w:t>PROPOSAL 2</w:t>
      </w:r>
    </w:p>
    <w:p>
      <w:pPr>
        <w:spacing w:after="0" w:line="95" w:lineRule="exact"/>
        <w:rPr>
          <w:sz w:val="20"/>
          <w:szCs w:val="20"/>
          <w:color w:val="auto"/>
        </w:rPr>
      </w:pPr>
    </w:p>
    <w:p>
      <w:pPr>
        <w:ind w:right="540"/>
        <w:spacing w:after="0" w:line="274" w:lineRule="auto"/>
        <w:rPr>
          <w:sz w:val="20"/>
          <w:szCs w:val="20"/>
          <w:color w:val="auto"/>
        </w:rPr>
      </w:pPr>
      <w:r>
        <w:rPr>
          <w:rFonts w:ascii="Arial" w:cs="Arial" w:eastAsia="Arial" w:hAnsi="Arial"/>
          <w:sz w:val="54"/>
          <w:szCs w:val="54"/>
          <w:b w:val="1"/>
          <w:bCs w:val="1"/>
          <w:color w:val="00DC64"/>
        </w:rPr>
        <w:t>Approval of, on an Advisory, Non-Binding Basis, the Compensation Paid to the Company’s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8" w:lineRule="exact"/>
        <w:rPr>
          <w:sz w:val="20"/>
          <w:szCs w:val="20"/>
          <w:color w:val="auto"/>
        </w:rPr>
      </w:pPr>
    </w:p>
    <w:p>
      <w:pPr>
        <w:ind w:right="160"/>
        <w:spacing w:after="0" w:line="319" w:lineRule="auto"/>
        <w:rPr>
          <w:sz w:val="20"/>
          <w:szCs w:val="20"/>
          <w:color w:val="auto"/>
        </w:rPr>
      </w:pPr>
      <w:r>
        <w:rPr>
          <w:rFonts w:ascii="Arial" w:cs="Arial" w:eastAsia="Arial" w:hAnsi="Arial"/>
          <w:sz w:val="16"/>
          <w:szCs w:val="16"/>
          <w:color w:val="auto"/>
        </w:rPr>
        <w:t>In accordance with Section 14A of the Exchange Act and the related SEC rules promulgated thereunder, we are asking our stockholders to cast a non-binding advisory vote to approve the compensation of our named executive officers. This proposal, commonly known as a “say-on-pay” proposal, gives our stockholders the opportunity to express their views on the compensation of our named executive officers.</w:t>
      </w:r>
    </w:p>
    <w:p>
      <w:pPr>
        <w:spacing w:after="0" w:line="103" w:lineRule="exact"/>
        <w:rPr>
          <w:sz w:val="20"/>
          <w:szCs w:val="20"/>
          <w:color w:val="auto"/>
        </w:rPr>
      </w:pPr>
    </w:p>
    <w:p>
      <w:pPr>
        <w:ind w:right="20"/>
        <w:spacing w:after="0" w:line="309" w:lineRule="auto"/>
        <w:rPr>
          <w:sz w:val="20"/>
          <w:szCs w:val="20"/>
          <w:color w:val="auto"/>
        </w:rPr>
      </w:pPr>
      <w:r>
        <w:rPr>
          <w:rFonts w:ascii="Arial" w:cs="Arial" w:eastAsia="Arial" w:hAnsi="Arial"/>
          <w:sz w:val="16"/>
          <w:szCs w:val="16"/>
          <w:color w:val="auto"/>
        </w:rPr>
        <w:t>As described in the “Executive Compensation—Compensation Discussion and Analysis” section of this Proxy Statement, the primary objectives of our executive compensation program are to: create an executive compensation program that balances short-term versus long-term payments and awards, cash payments versus equity awards and fixed versus contingent payments and awards, in ways that we believe are most appropriate to motivate our executive officers, including our named executive officers. We urge our stockholders to review the “Executive Compensation” section of this Proxy Statement, including the compensation tables and related narrative discussion included therein for more information.</w:t>
      </w:r>
    </w:p>
    <w:p>
      <w:pPr>
        <w:spacing w:after="0" w:line="112" w:lineRule="exact"/>
        <w:rPr>
          <w:sz w:val="20"/>
          <w:szCs w:val="20"/>
          <w:color w:val="auto"/>
        </w:rPr>
      </w:pPr>
    </w:p>
    <w:p>
      <w:pPr>
        <w:ind w:right="180"/>
        <w:spacing w:after="0" w:line="319" w:lineRule="auto"/>
        <w:rPr>
          <w:sz w:val="20"/>
          <w:szCs w:val="20"/>
          <w:color w:val="auto"/>
        </w:rPr>
      </w:pPr>
      <w:r>
        <w:rPr>
          <w:rFonts w:ascii="Arial" w:cs="Arial" w:eastAsia="Arial" w:hAnsi="Arial"/>
          <w:sz w:val="16"/>
          <w:szCs w:val="16"/>
          <w:color w:val="auto"/>
        </w:rPr>
        <w:t>The Compensation Committee and the Board believe that our executive compensation aligns well with our philosophy and with corporate performance. Executive compensation is an important matter for our stockholders. We routinely review our compensation practices and engage in ongoing dialogue with our stockholders to ensure our practices are aligned with stakeholder interests and reflect best practices.</w:t>
      </w:r>
    </w:p>
    <w:p>
      <w:pPr>
        <w:spacing w:after="0" w:line="117" w:lineRule="exact"/>
        <w:rPr>
          <w:sz w:val="20"/>
          <w:szCs w:val="20"/>
          <w:color w:val="auto"/>
        </w:rPr>
      </w:pPr>
    </w:p>
    <w:p>
      <w:pPr>
        <w:ind w:right="120"/>
        <w:spacing w:after="0" w:line="310" w:lineRule="auto"/>
        <w:rPr>
          <w:sz w:val="20"/>
          <w:szCs w:val="20"/>
          <w:color w:val="auto"/>
        </w:rPr>
      </w:pPr>
      <w:r>
        <w:rPr>
          <w:rFonts w:ascii="Arial" w:cs="Arial" w:eastAsia="Arial" w:hAnsi="Arial"/>
          <w:sz w:val="16"/>
          <w:szCs w:val="16"/>
          <w:color w:val="auto"/>
        </w:rPr>
        <w:t>As an advisory vote, the outcome of the vote on this proposal is not binding upon us. However, the Board and Compensation Committee value the opinions expressed by stockholders in their vote on this Proposal and will consider the outcome of the vote when making future compensation decisions for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96520</wp:posOffset>
            </wp:positionV>
            <wp:extent cx="7132320" cy="7029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70294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ind w:left="380" w:right="1100"/>
        <w:spacing w:after="0" w:line="285" w:lineRule="auto"/>
        <w:rPr>
          <w:sz w:val="20"/>
          <w:szCs w:val="20"/>
          <w:color w:val="auto"/>
        </w:rPr>
      </w:pPr>
      <w:r>
        <w:rPr>
          <w:rFonts w:ascii="Arial" w:cs="Arial" w:eastAsia="Arial" w:hAnsi="Arial"/>
          <w:sz w:val="22"/>
          <w:szCs w:val="22"/>
          <w:b w:val="1"/>
          <w:bCs w:val="1"/>
          <w:color w:val="auto"/>
        </w:rPr>
        <w:t xml:space="preserve">The Board recommends that you vote </w:t>
      </w:r>
      <w:r>
        <w:rPr>
          <w:rFonts w:ascii="Arial" w:cs="Arial" w:eastAsia="Arial" w:hAnsi="Arial"/>
          <w:sz w:val="22"/>
          <w:szCs w:val="22"/>
          <w:b w:val="1"/>
          <w:bCs w:val="1"/>
          <w:color w:val="00DC64"/>
        </w:rPr>
        <w:t>“FOR”</w:t>
      </w:r>
      <w:r>
        <w:rPr>
          <w:rFonts w:ascii="Arial" w:cs="Arial" w:eastAsia="Arial" w:hAnsi="Arial"/>
          <w:sz w:val="22"/>
          <w:szCs w:val="22"/>
          <w:b w:val="1"/>
          <w:bCs w:val="1"/>
          <w:color w:val="auto"/>
        </w:rPr>
        <w:t xml:space="preserve"> approving, on an advisory, non-binding basis, the compensation paid to the company’s named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0"/>
        <w:spacing w:after="0"/>
        <w:tabs>
          <w:tab w:leader="none" w:pos="5360" w:val="left"/>
        </w:tabs>
        <w:rPr>
          <w:sz w:val="20"/>
          <w:szCs w:val="20"/>
          <w:color w:val="auto"/>
        </w:rPr>
      </w:pPr>
      <w:r>
        <w:rPr>
          <w:rFonts w:ascii="Arial" w:cs="Arial" w:eastAsia="Arial" w:hAnsi="Arial"/>
          <w:sz w:val="14"/>
          <w:szCs w:val="14"/>
          <w:b w:val="1"/>
          <w:bCs w:val="1"/>
          <w:color w:val="auto"/>
        </w:rPr>
        <w:t>52</w:t>
      </w:r>
      <w:r>
        <w:rPr>
          <w:sz w:val="20"/>
          <w:szCs w:val="20"/>
          <w:color w:val="auto"/>
        </w:rPr>
        <w:tab/>
      </w:r>
      <w:r>
        <w:rPr>
          <w:sz w:val="1"/>
          <w:szCs w:val="1"/>
          <w:color w:val="auto"/>
        </w:rPr>
        <w:drawing>
          <wp:inline distT="0" distB="0" distL="0" distR="0">
            <wp:extent cx="282575" cy="274320"/>
            <wp:effectExtent l="0" t="0" r="0" b="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82575" cy="274320"/>
                    </a:xfrm>
                    <a:prstGeom prst="rect">
                      <a:avLst/>
                    </a:prstGeom>
                    <a:noFill/>
                    <a:ln>
                      <a:noFill/>
                    </a:ln>
                  </pic:spPr>
                </pic:pic>
              </a:graphicData>
            </a:graphic>
          </wp:inline>
        </w:drawing>
      </w:r>
      <w:r>
        <w:rPr>
          <w:rFonts w:ascii="Arial" w:cs="Arial" w:eastAsia="Arial" w:hAnsi="Arial"/>
          <w:sz w:val="14"/>
          <w:szCs w:val="14"/>
          <w:b w:val="1"/>
          <w:bCs w:val="1"/>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6"/>
          <w:szCs w:val="16"/>
          <w:color w:val="auto"/>
        </w:rPr>
        <w:t>PROPOSAL 3</w:t>
      </w:r>
    </w:p>
    <w:p>
      <w:pPr>
        <w:spacing w:after="0" w:line="95" w:lineRule="exact"/>
        <w:rPr>
          <w:sz w:val="20"/>
          <w:szCs w:val="20"/>
          <w:color w:val="auto"/>
        </w:rPr>
      </w:pPr>
    </w:p>
    <w:p>
      <w:pPr>
        <w:ind w:right="140"/>
        <w:spacing w:after="0" w:line="309" w:lineRule="auto"/>
        <w:rPr>
          <w:sz w:val="20"/>
          <w:szCs w:val="20"/>
          <w:color w:val="auto"/>
        </w:rPr>
      </w:pPr>
      <w:r>
        <w:rPr>
          <w:rFonts w:ascii="Arial" w:cs="Arial" w:eastAsia="Arial" w:hAnsi="Arial"/>
          <w:sz w:val="53"/>
          <w:szCs w:val="53"/>
          <w:b w:val="1"/>
          <w:bCs w:val="1"/>
          <w:color w:val="00DC64"/>
        </w:rPr>
        <w:t>Ratification of Appointment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7" w:lineRule="exact"/>
        <w:rPr>
          <w:sz w:val="20"/>
          <w:szCs w:val="20"/>
          <w:color w:val="auto"/>
        </w:rPr>
      </w:pPr>
    </w:p>
    <w:p>
      <w:pPr>
        <w:jc w:val="both"/>
        <w:ind w:right="40"/>
        <w:spacing w:after="0" w:line="319" w:lineRule="auto"/>
        <w:rPr>
          <w:sz w:val="20"/>
          <w:szCs w:val="20"/>
          <w:color w:val="auto"/>
        </w:rPr>
      </w:pPr>
      <w:r>
        <w:rPr>
          <w:rFonts w:ascii="Arial" w:cs="Arial" w:eastAsia="Arial" w:hAnsi="Arial"/>
          <w:sz w:val="16"/>
          <w:szCs w:val="16"/>
          <w:color w:val="auto"/>
        </w:rPr>
        <w:t>The Audit Committee has appointed Samil PricewaterhouseCoopers as our independent registered public accounting firm for the year ending December 31, 2026. Services provided to the Company and its subsidiaries by Samil PricewaterhouseCoopers for the year ended December 31, 2025 are described below and under “Report of the Audit Committee.”</w:t>
      </w:r>
    </w:p>
    <w:p>
      <w:pPr>
        <w:spacing w:after="0" w:line="103" w:lineRule="exact"/>
        <w:rPr>
          <w:sz w:val="20"/>
          <w:szCs w:val="20"/>
          <w:color w:val="auto"/>
        </w:rPr>
      </w:pPr>
    </w:p>
    <w:p>
      <w:pPr>
        <w:ind w:right="40"/>
        <w:spacing w:after="0" w:line="319" w:lineRule="auto"/>
        <w:rPr>
          <w:sz w:val="20"/>
          <w:szCs w:val="20"/>
          <w:color w:val="auto"/>
        </w:rPr>
      </w:pPr>
      <w:r>
        <w:rPr>
          <w:rFonts w:ascii="Arial" w:cs="Arial" w:eastAsia="Arial" w:hAnsi="Arial"/>
          <w:sz w:val="16"/>
          <w:szCs w:val="16"/>
          <w:color w:val="auto"/>
        </w:rPr>
        <w:t>The Audit Committee approved all services provided by Samil PricewaterhouseCoopers. Representatives of Samil PricewaterhouseCoopers are expected to be present at the Annual Meeting. They will have the opportunity to make a statement if they desire to do so, and we expect that they will be available to respond to questions.</w:t>
      </w:r>
    </w:p>
    <w:p>
      <w:pPr>
        <w:spacing w:after="0" w:line="117" w:lineRule="exact"/>
        <w:rPr>
          <w:sz w:val="20"/>
          <w:szCs w:val="20"/>
          <w:color w:val="auto"/>
        </w:rPr>
      </w:pPr>
    </w:p>
    <w:p>
      <w:pPr>
        <w:ind w:right="20"/>
        <w:spacing w:after="0" w:line="304" w:lineRule="auto"/>
        <w:rPr>
          <w:sz w:val="20"/>
          <w:szCs w:val="20"/>
          <w:color w:val="auto"/>
        </w:rPr>
      </w:pPr>
      <w:r>
        <w:rPr>
          <w:rFonts w:ascii="Arial" w:cs="Arial" w:eastAsia="Arial" w:hAnsi="Arial"/>
          <w:sz w:val="16"/>
          <w:szCs w:val="16"/>
          <w:color w:val="auto"/>
        </w:rPr>
        <w:t>Ratification of the appointment of Samil PricewaterhouseCoopers requires affirmative votes from the holders of a majority of the shares present at the Annual Meeting and entitled to vote. If the Company’s stockholders do not ratify the appointment of Samil PricewaterhouseCoopers, the Audit Committee will reconsider the appointment and may affirm the appointment or retain another independent registered public accounting firm. Even if the appointment is ratified, the Audit Committee may in the future replace Samil PricewaterhouseCoopers as our independent registered public accounting firm if it is determined that it is in the Company’s best interests to do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7439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87439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380" w:right="1320"/>
        <w:spacing w:after="0" w:line="264" w:lineRule="auto"/>
        <w:rPr>
          <w:sz w:val="20"/>
          <w:szCs w:val="20"/>
          <w:color w:val="auto"/>
        </w:rPr>
      </w:pPr>
      <w:r>
        <w:rPr>
          <w:rFonts w:ascii="Arial" w:cs="Arial" w:eastAsia="Arial" w:hAnsi="Arial"/>
          <w:sz w:val="22"/>
          <w:szCs w:val="22"/>
          <w:b w:val="1"/>
          <w:bCs w:val="1"/>
          <w:color w:val="auto"/>
        </w:rPr>
        <w:t xml:space="preserve">The Audit Committee and the Board recommend that you vote </w:t>
      </w:r>
      <w:r>
        <w:rPr>
          <w:rFonts w:ascii="Arial" w:cs="Arial" w:eastAsia="Arial" w:hAnsi="Arial"/>
          <w:sz w:val="22"/>
          <w:szCs w:val="22"/>
          <w:b w:val="1"/>
          <w:bCs w:val="1"/>
          <w:color w:val="00DC64"/>
        </w:rPr>
        <w:t>“FOR”</w:t>
      </w:r>
      <w:r>
        <w:rPr>
          <w:rFonts w:ascii="Arial" w:cs="Arial" w:eastAsia="Arial" w:hAnsi="Arial"/>
          <w:sz w:val="22"/>
          <w:szCs w:val="22"/>
          <w:b w:val="1"/>
          <w:bCs w:val="1"/>
          <w:color w:val="auto"/>
        </w:rPr>
        <w:t xml:space="preserve"> the ratification of the appointment of SAMIL PRICEWATERHOUSECOOPERS as the Independent Registered Public Accounting Firm for the year ending December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551180</wp:posOffset>
            </wp:positionV>
            <wp:extent cx="282575" cy="27432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82575"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280" w:type="dxa"/>
            <w:vAlign w:val="bottom"/>
          </w:tcPr>
          <w:p>
            <w:pPr>
              <w:ind w:left="20"/>
              <w:spacing w:after="0"/>
              <w:rPr>
                <w:sz w:val="20"/>
                <w:szCs w:val="20"/>
                <w:color w:val="auto"/>
              </w:rPr>
            </w:pPr>
            <w:r>
              <w:rPr>
                <w:rFonts w:ascii="Arial" w:cs="Arial" w:eastAsia="Arial" w:hAnsi="Arial"/>
                <w:sz w:val="14"/>
                <w:szCs w:val="14"/>
                <w:b w:val="1"/>
                <w:bCs w:val="1"/>
                <w:color w:val="auto"/>
              </w:rPr>
              <w:t>2026 Proxy Statement</w:t>
            </w:r>
          </w:p>
        </w:tc>
        <w:tc>
          <w:tcPr>
            <w:tcW w:w="4960" w:type="dxa"/>
            <w:vAlign w:val="bottom"/>
          </w:tcPr>
          <w:p>
            <w:pPr>
              <w:jc w:val="right"/>
              <w:spacing w:after="0"/>
              <w:rPr>
                <w:sz w:val="20"/>
                <w:szCs w:val="20"/>
                <w:color w:val="auto"/>
              </w:rPr>
            </w:pPr>
            <w:r>
              <w:rPr>
                <w:rFonts w:ascii="Arial" w:cs="Arial" w:eastAsia="Arial" w:hAnsi="Arial"/>
                <w:sz w:val="14"/>
                <w:szCs w:val="14"/>
                <w:b w:val="1"/>
                <w:bCs w:val="1"/>
                <w:color w:val="auto"/>
              </w:rPr>
              <w:t>53</w:t>
            </w:r>
          </w:p>
        </w:tc>
      </w:tr>
      <w:tr>
        <w:trPr>
          <w:trHeight w:val="360"/>
        </w:trPr>
        <w:tc>
          <w:tcPr>
            <w:tcW w:w="6280" w:type="dxa"/>
            <w:vAlign w:val="bottom"/>
            <w:tcBorders>
              <w:bottom w:val="single" w:sz="8" w:color="9A9A9A"/>
            </w:tcBorders>
          </w:tcPr>
          <w:p>
            <w:pPr>
              <w:spacing w:after="0"/>
              <w:rPr>
                <w:sz w:val="24"/>
                <w:szCs w:val="24"/>
                <w:color w:val="auto"/>
              </w:rPr>
            </w:pPr>
          </w:p>
        </w:tc>
        <w:tc>
          <w:tcPr>
            <w:tcW w:w="4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20"/>
          <w:szCs w:val="20"/>
          <w:b w:val="1"/>
          <w:bCs w:val="1"/>
          <w:color w:val="00DC64"/>
        </w:rPr>
        <w:t>PRINCIPAL ACCOUNTANT FEES AND SERVICES</w:t>
      </w:r>
    </w:p>
    <w:p>
      <w:pPr>
        <w:spacing w:after="0" w:line="198" w:lineRule="exact"/>
        <w:rPr>
          <w:sz w:val="20"/>
          <w:szCs w:val="20"/>
          <w:color w:val="auto"/>
        </w:rPr>
      </w:pPr>
    </w:p>
    <w:p>
      <w:pPr>
        <w:ind w:right="140"/>
        <w:spacing w:after="0" w:line="321" w:lineRule="auto"/>
        <w:rPr>
          <w:sz w:val="20"/>
          <w:szCs w:val="20"/>
          <w:color w:val="auto"/>
        </w:rPr>
      </w:pPr>
      <w:r>
        <w:rPr>
          <w:rFonts w:ascii="Arial" w:cs="Arial" w:eastAsia="Arial" w:hAnsi="Arial"/>
          <w:sz w:val="16"/>
          <w:szCs w:val="16"/>
          <w:color w:val="auto"/>
        </w:rPr>
        <w:t>The following table summarizes the aggregate fees for professional audit services and other services rendered by Samil PricewaterhouseCoopers for fiscal years 2025 and 2024:</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2025</w:t>
            </w:r>
          </w:p>
        </w:tc>
        <w:tc>
          <w:tcPr>
            <w:tcW w:w="240" w:type="dxa"/>
            <w:vAlign w:val="bottom"/>
          </w:tcPr>
          <w:p>
            <w:pPr>
              <w:spacing w:after="0"/>
              <w:rPr>
                <w:sz w:val="17"/>
                <w:szCs w:val="17"/>
                <w:color w:val="auto"/>
              </w:rPr>
            </w:pPr>
          </w:p>
        </w:tc>
        <w:tc>
          <w:tcPr>
            <w:tcW w:w="1700" w:type="dxa"/>
            <w:vAlign w:val="bottom"/>
          </w:tcPr>
          <w:p>
            <w:pPr>
              <w:jc w:val="right"/>
              <w:ind w:right="88"/>
              <w:spacing w:after="0"/>
              <w:rPr>
                <w:sz w:val="20"/>
                <w:szCs w:val="20"/>
                <w:color w:val="auto"/>
              </w:rPr>
            </w:pPr>
            <w:r>
              <w:rPr>
                <w:rFonts w:ascii="Arial" w:cs="Arial" w:eastAsia="Arial" w:hAnsi="Arial"/>
                <w:sz w:val="14"/>
                <w:szCs w:val="14"/>
                <w:b w:val="1"/>
                <w:bCs w:val="1"/>
                <w:color w:val="auto"/>
              </w:rPr>
              <w:t>2024</w:t>
            </w:r>
          </w:p>
        </w:tc>
      </w:tr>
      <w:tr>
        <w:trPr>
          <w:trHeight w:val="110"/>
        </w:trPr>
        <w:tc>
          <w:tcPr>
            <w:tcW w:w="7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700" w:type="dxa"/>
            <w:vAlign w:val="bottom"/>
          </w:tcPr>
          <w:p>
            <w:pPr>
              <w:spacing w:after="0"/>
              <w:rPr>
                <w:sz w:val="9"/>
                <w:szCs w:val="9"/>
                <w:color w:val="auto"/>
              </w:rPr>
            </w:pPr>
          </w:p>
        </w:tc>
      </w:tr>
      <w:tr>
        <w:trPr>
          <w:trHeight w:val="229"/>
        </w:trPr>
        <w:tc>
          <w:tcPr>
            <w:tcW w:w="7740" w:type="dxa"/>
            <w:vAlign w:val="bottom"/>
            <w:shd w:val="clear" w:color="auto" w:fill="F1F2F2"/>
          </w:tcPr>
          <w:p>
            <w:pPr>
              <w:ind w:left="100"/>
              <w:spacing w:after="0"/>
              <w:rPr>
                <w:sz w:val="20"/>
                <w:szCs w:val="20"/>
                <w:color w:val="auto"/>
              </w:rPr>
            </w:pPr>
            <w:r>
              <w:rPr>
                <w:rFonts w:ascii="Arial" w:cs="Arial" w:eastAsia="Arial" w:hAnsi="Arial"/>
                <w:sz w:val="14"/>
                <w:szCs w:val="14"/>
                <w:b w:val="1"/>
                <w:bCs w:val="1"/>
                <w:color w:val="auto"/>
              </w:rPr>
              <w:t>Audit Fees</w:t>
            </w:r>
            <w:r>
              <w:rPr>
                <w:rFonts w:ascii="Arial" w:cs="Arial" w:eastAsia="Arial" w:hAnsi="Arial"/>
                <w:sz w:val="18"/>
                <w:szCs w:val="18"/>
                <w:b w:val="1"/>
                <w:bCs w:val="1"/>
                <w:color w:val="auto"/>
                <w:vertAlign w:val="superscript"/>
              </w:rPr>
              <w:t>(1)</w:t>
            </w:r>
          </w:p>
        </w:tc>
        <w:tc>
          <w:tcPr>
            <w:tcW w:w="440" w:type="dxa"/>
            <w:vAlign w:val="bottom"/>
            <w:shd w:val="clear" w:color="auto" w:fill="F1F2F2"/>
          </w:tcPr>
          <w:p>
            <w:pPr>
              <w:spacing w:after="0"/>
              <w:rPr>
                <w:sz w:val="19"/>
                <w:szCs w:val="19"/>
                <w:color w:val="auto"/>
              </w:rPr>
            </w:pPr>
          </w:p>
        </w:tc>
        <w:tc>
          <w:tcPr>
            <w:tcW w:w="1120" w:type="dxa"/>
            <w:vAlign w:val="bottom"/>
            <w:shd w:val="clear" w:color="auto" w:fill="F1F2F2"/>
          </w:tcPr>
          <w:p>
            <w:pPr>
              <w:jc w:val="right"/>
              <w:ind w:right="8"/>
              <w:spacing w:after="0"/>
              <w:rPr>
                <w:sz w:val="20"/>
                <w:szCs w:val="20"/>
                <w:color w:val="auto"/>
              </w:rPr>
            </w:pPr>
            <w:r>
              <w:rPr>
                <w:rFonts w:ascii="Arial" w:cs="Arial" w:eastAsia="Arial" w:hAnsi="Arial"/>
                <w:sz w:val="14"/>
                <w:szCs w:val="14"/>
                <w:color w:val="auto"/>
              </w:rPr>
              <w:t>$4,733,769</w:t>
            </w:r>
          </w:p>
        </w:tc>
        <w:tc>
          <w:tcPr>
            <w:tcW w:w="240" w:type="dxa"/>
            <w:vAlign w:val="bottom"/>
            <w:shd w:val="clear" w:color="auto" w:fill="F1F2F2"/>
          </w:tcPr>
          <w:p>
            <w:pPr>
              <w:spacing w:after="0"/>
              <w:rPr>
                <w:sz w:val="19"/>
                <w:szCs w:val="19"/>
                <w:color w:val="auto"/>
              </w:rPr>
            </w:pPr>
          </w:p>
        </w:tc>
        <w:tc>
          <w:tcPr>
            <w:tcW w:w="1700" w:type="dxa"/>
            <w:vAlign w:val="bottom"/>
            <w:shd w:val="clear" w:color="auto" w:fill="F1F2F2"/>
          </w:tcPr>
          <w:p>
            <w:pPr>
              <w:jc w:val="right"/>
              <w:ind w:right="148"/>
              <w:spacing w:after="0"/>
              <w:rPr>
                <w:sz w:val="20"/>
                <w:szCs w:val="20"/>
                <w:color w:val="auto"/>
              </w:rPr>
            </w:pPr>
            <w:r>
              <w:rPr>
                <w:rFonts w:ascii="Arial" w:cs="Arial" w:eastAsia="Arial" w:hAnsi="Arial"/>
                <w:sz w:val="14"/>
                <w:szCs w:val="14"/>
                <w:color w:val="auto"/>
              </w:rPr>
              <w:t>$3,873,497</w:t>
            </w:r>
          </w:p>
        </w:tc>
      </w:tr>
      <w:tr>
        <w:trPr>
          <w:trHeight w:val="222"/>
        </w:trPr>
        <w:tc>
          <w:tcPr>
            <w:tcW w:w="7740" w:type="dxa"/>
            <w:vAlign w:val="bottom"/>
          </w:tcPr>
          <w:p>
            <w:pPr>
              <w:ind w:left="100"/>
              <w:spacing w:after="0"/>
              <w:rPr>
                <w:sz w:val="20"/>
                <w:szCs w:val="20"/>
                <w:color w:val="auto"/>
              </w:rPr>
            </w:pPr>
            <w:r>
              <w:rPr>
                <w:rFonts w:ascii="Arial" w:cs="Arial" w:eastAsia="Arial" w:hAnsi="Arial"/>
                <w:sz w:val="14"/>
                <w:szCs w:val="14"/>
                <w:b w:val="1"/>
                <w:bCs w:val="1"/>
                <w:color w:val="auto"/>
              </w:rPr>
              <w:t>Audit-related Fees</w:t>
            </w:r>
          </w:p>
        </w:tc>
        <w:tc>
          <w:tcPr>
            <w:tcW w:w="440" w:type="dxa"/>
            <w:vAlign w:val="bottom"/>
          </w:tcPr>
          <w:p>
            <w:pPr>
              <w:spacing w:after="0"/>
              <w:rPr>
                <w:sz w:val="19"/>
                <w:szCs w:val="19"/>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700" w:type="dxa"/>
            <w:vAlign w:val="bottom"/>
          </w:tcPr>
          <w:p>
            <w:pPr>
              <w:jc w:val="right"/>
              <w:ind w:right="148"/>
              <w:spacing w:after="0"/>
              <w:rPr>
                <w:sz w:val="20"/>
                <w:szCs w:val="20"/>
                <w:color w:val="auto"/>
              </w:rPr>
            </w:pPr>
            <w:r>
              <w:rPr>
                <w:rFonts w:ascii="Arial" w:cs="Arial" w:eastAsia="Arial" w:hAnsi="Arial"/>
                <w:sz w:val="14"/>
                <w:szCs w:val="14"/>
                <w:color w:val="auto"/>
              </w:rPr>
              <w:t>—</w:t>
            </w:r>
          </w:p>
        </w:tc>
      </w:tr>
      <w:tr>
        <w:trPr>
          <w:trHeight w:val="237"/>
        </w:trPr>
        <w:tc>
          <w:tcPr>
            <w:tcW w:w="7740" w:type="dxa"/>
            <w:vAlign w:val="bottom"/>
            <w:shd w:val="clear" w:color="auto" w:fill="F1F2F2"/>
          </w:tcPr>
          <w:p>
            <w:pPr>
              <w:ind w:left="100"/>
              <w:spacing w:after="0"/>
              <w:rPr>
                <w:sz w:val="20"/>
                <w:szCs w:val="20"/>
                <w:color w:val="auto"/>
              </w:rPr>
            </w:pPr>
            <w:r>
              <w:rPr>
                <w:rFonts w:ascii="Arial" w:cs="Arial" w:eastAsia="Arial" w:hAnsi="Arial"/>
                <w:sz w:val="14"/>
                <w:szCs w:val="14"/>
                <w:b w:val="1"/>
                <w:bCs w:val="1"/>
                <w:color w:val="auto"/>
              </w:rPr>
              <w:t>Tax Fees</w:t>
            </w:r>
            <w:r>
              <w:rPr>
                <w:rFonts w:ascii="Arial" w:cs="Arial" w:eastAsia="Arial" w:hAnsi="Arial"/>
                <w:sz w:val="18"/>
                <w:szCs w:val="18"/>
                <w:b w:val="1"/>
                <w:bCs w:val="1"/>
                <w:color w:val="auto"/>
                <w:vertAlign w:val="superscript"/>
              </w:rPr>
              <w:t>(2)</w:t>
            </w:r>
          </w:p>
        </w:tc>
        <w:tc>
          <w:tcPr>
            <w:tcW w:w="440" w:type="dxa"/>
            <w:vAlign w:val="bottom"/>
            <w:shd w:val="clear" w:color="auto" w:fill="F1F2F2"/>
          </w:tcPr>
          <w:p>
            <w:pPr>
              <w:spacing w:after="0"/>
              <w:rPr>
                <w:sz w:val="20"/>
                <w:szCs w:val="20"/>
                <w:color w:val="auto"/>
              </w:rPr>
            </w:pPr>
          </w:p>
        </w:tc>
        <w:tc>
          <w:tcPr>
            <w:tcW w:w="1120" w:type="dxa"/>
            <w:vAlign w:val="bottom"/>
            <w:shd w:val="clear" w:color="auto" w:fill="F1F2F2"/>
          </w:tcPr>
          <w:p>
            <w:pPr>
              <w:jc w:val="right"/>
              <w:ind w:right="8"/>
              <w:spacing w:after="0"/>
              <w:rPr>
                <w:sz w:val="20"/>
                <w:szCs w:val="20"/>
                <w:color w:val="auto"/>
              </w:rPr>
            </w:pPr>
            <w:r>
              <w:rPr>
                <w:rFonts w:ascii="Arial" w:cs="Arial" w:eastAsia="Arial" w:hAnsi="Arial"/>
                <w:sz w:val="14"/>
                <w:szCs w:val="14"/>
                <w:color w:val="auto"/>
              </w:rPr>
              <w:t>$147,569</w:t>
            </w:r>
          </w:p>
        </w:tc>
        <w:tc>
          <w:tcPr>
            <w:tcW w:w="240" w:type="dxa"/>
            <w:vAlign w:val="bottom"/>
            <w:shd w:val="clear" w:color="auto" w:fill="F1F2F2"/>
          </w:tcPr>
          <w:p>
            <w:pPr>
              <w:spacing w:after="0"/>
              <w:rPr>
                <w:sz w:val="20"/>
                <w:szCs w:val="20"/>
                <w:color w:val="auto"/>
              </w:rPr>
            </w:pPr>
          </w:p>
        </w:tc>
        <w:tc>
          <w:tcPr>
            <w:tcW w:w="1700" w:type="dxa"/>
            <w:vAlign w:val="bottom"/>
            <w:shd w:val="clear" w:color="auto" w:fill="F1F2F2"/>
          </w:tcPr>
          <w:p>
            <w:pPr>
              <w:jc w:val="right"/>
              <w:ind w:right="148"/>
              <w:spacing w:after="0"/>
              <w:rPr>
                <w:sz w:val="20"/>
                <w:szCs w:val="20"/>
                <w:color w:val="auto"/>
              </w:rPr>
            </w:pPr>
            <w:r>
              <w:rPr>
                <w:rFonts w:ascii="Arial" w:cs="Arial" w:eastAsia="Arial" w:hAnsi="Arial"/>
                <w:sz w:val="14"/>
                <w:szCs w:val="14"/>
                <w:color w:val="auto"/>
              </w:rPr>
              <w:t>$140,455</w:t>
            </w:r>
          </w:p>
        </w:tc>
      </w:tr>
      <w:tr>
        <w:trPr>
          <w:trHeight w:val="230"/>
        </w:trPr>
        <w:tc>
          <w:tcPr>
            <w:tcW w:w="7740" w:type="dxa"/>
            <w:vAlign w:val="bottom"/>
            <w:tcBorders>
              <w:bottom w:val="single" w:sz="8" w:color="F1F2F2"/>
            </w:tcBorders>
          </w:tcPr>
          <w:p>
            <w:pPr>
              <w:ind w:left="100"/>
              <w:spacing w:after="0"/>
              <w:rPr>
                <w:sz w:val="20"/>
                <w:szCs w:val="20"/>
                <w:color w:val="auto"/>
              </w:rPr>
            </w:pPr>
            <w:r>
              <w:rPr>
                <w:rFonts w:ascii="Arial" w:cs="Arial" w:eastAsia="Arial" w:hAnsi="Arial"/>
                <w:sz w:val="14"/>
                <w:szCs w:val="14"/>
                <w:b w:val="1"/>
                <w:bCs w:val="1"/>
                <w:color w:val="auto"/>
              </w:rPr>
              <w:t>All Other Fees</w:t>
            </w:r>
            <w:r>
              <w:rPr>
                <w:rFonts w:ascii="Arial" w:cs="Arial" w:eastAsia="Arial" w:hAnsi="Arial"/>
                <w:sz w:val="18"/>
                <w:szCs w:val="18"/>
                <w:b w:val="1"/>
                <w:bCs w:val="1"/>
                <w:color w:val="auto"/>
                <w:vertAlign w:val="superscript"/>
              </w:rPr>
              <w:t>(3)</w:t>
            </w: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$2,000</w:t>
            </w:r>
          </w:p>
        </w:tc>
        <w:tc>
          <w:tcPr>
            <w:tcW w:w="240" w:type="dxa"/>
            <w:vAlign w:val="bottom"/>
            <w:tcBorders>
              <w:bottom w:val="single" w:sz="8" w:color="F1F2F2"/>
            </w:tcBorders>
          </w:tcPr>
          <w:p>
            <w:pPr>
              <w:spacing w:after="0"/>
              <w:rPr>
                <w:sz w:val="19"/>
                <w:szCs w:val="19"/>
                <w:color w:val="auto"/>
              </w:rPr>
            </w:pPr>
          </w:p>
        </w:tc>
        <w:tc>
          <w:tcPr>
            <w:tcW w:w="17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$2,000</w:t>
            </w:r>
          </w:p>
        </w:tc>
      </w:tr>
      <w:tr>
        <w:trPr>
          <w:trHeight w:val="261"/>
        </w:trPr>
        <w:tc>
          <w:tcPr>
            <w:tcW w:w="7740" w:type="dxa"/>
            <w:vAlign w:val="bottom"/>
            <w:tcBorders>
              <w:bottom w:val="single" w:sz="8" w:color="F1F2F2"/>
            </w:tcBorders>
            <w:shd w:val="clear" w:color="auto" w:fill="F1F2F2"/>
          </w:tcPr>
          <w:p>
            <w:pPr>
              <w:ind w:left="100"/>
              <w:spacing w:after="0"/>
              <w:rPr>
                <w:sz w:val="20"/>
                <w:szCs w:val="20"/>
                <w:color w:val="auto"/>
              </w:rPr>
            </w:pPr>
            <w:r>
              <w:rPr>
                <w:rFonts w:ascii="Arial" w:cs="Arial" w:eastAsia="Arial" w:hAnsi="Arial"/>
                <w:sz w:val="14"/>
                <w:szCs w:val="14"/>
                <w:b w:val="1"/>
                <w:bCs w:val="1"/>
                <w:color w:val="auto"/>
              </w:rPr>
              <w:t>Total</w:t>
            </w:r>
          </w:p>
        </w:tc>
        <w:tc>
          <w:tcPr>
            <w:tcW w:w="440" w:type="dxa"/>
            <w:vAlign w:val="bottom"/>
            <w:tcBorders>
              <w:bottom w:val="single" w:sz="8" w:color="auto"/>
            </w:tcBorders>
            <w:shd w:val="clear" w:color="auto" w:fill="F1F2F2"/>
          </w:tcPr>
          <w:p>
            <w:pPr>
              <w:jc w:val="right"/>
              <w:ind w:right="2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F1F2F2"/>
          </w:tcPr>
          <w:p>
            <w:pPr>
              <w:jc w:val="right"/>
              <w:ind w:right="8"/>
              <w:spacing w:after="0"/>
              <w:rPr>
                <w:sz w:val="20"/>
                <w:szCs w:val="20"/>
                <w:color w:val="auto"/>
              </w:rPr>
            </w:pPr>
            <w:r>
              <w:rPr>
                <w:rFonts w:ascii="Arial" w:cs="Arial" w:eastAsia="Arial" w:hAnsi="Arial"/>
                <w:sz w:val="14"/>
                <w:szCs w:val="14"/>
                <w:color w:val="auto"/>
              </w:rPr>
              <w:t>4,883,338</w:t>
            </w:r>
          </w:p>
        </w:tc>
        <w:tc>
          <w:tcPr>
            <w:tcW w:w="240" w:type="dxa"/>
            <w:vAlign w:val="bottom"/>
            <w:tcBorders>
              <w:bottom w:val="single" w:sz="8" w:color="F1F2F2"/>
            </w:tcBorders>
            <w:shd w:val="clear" w:color="auto" w:fill="F1F2F2"/>
          </w:tcPr>
          <w:p>
            <w:pPr>
              <w:spacing w:after="0"/>
              <w:rPr>
                <w:sz w:val="22"/>
                <w:szCs w:val="22"/>
                <w:color w:val="auto"/>
              </w:rPr>
            </w:pPr>
          </w:p>
        </w:tc>
        <w:tc>
          <w:tcPr>
            <w:tcW w:w="1700" w:type="dxa"/>
            <w:vAlign w:val="bottom"/>
            <w:tcBorders>
              <w:bottom w:val="single" w:sz="8" w:color="auto"/>
            </w:tcBorders>
            <w:shd w:val="clear" w:color="auto" w:fill="F1F2F2"/>
          </w:tcPr>
          <w:p>
            <w:pPr>
              <w:jc w:val="right"/>
              <w:ind w:right="88"/>
              <w:spacing w:after="0"/>
              <w:rPr>
                <w:sz w:val="20"/>
                <w:szCs w:val="20"/>
                <w:color w:val="auto"/>
              </w:rPr>
            </w:pPr>
            <w:r>
              <w:rPr>
                <w:rFonts w:ascii="Arial" w:cs="Arial" w:eastAsia="Arial" w:hAnsi="Arial"/>
                <w:sz w:val="14"/>
                <w:szCs w:val="14"/>
                <w:color w:val="auto"/>
              </w:rPr>
              <w:t>$4,015,952</w:t>
            </w:r>
          </w:p>
        </w:tc>
      </w:tr>
      <w:tr>
        <w:trPr>
          <w:trHeight w:val="20"/>
        </w:trPr>
        <w:tc>
          <w:tcPr>
            <w:tcW w:w="774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F1F2F2"/>
            </w:tcBorders>
            <w:shd w:val="clear" w:color="auto" w:fill="000000"/>
          </w:tcPr>
          <w:p>
            <w:pPr>
              <w:spacing w:after="0" w:line="20" w:lineRule="exact"/>
              <w:rPr>
                <w:sz w:val="1"/>
                <w:szCs w:val="1"/>
                <w:color w:val="auto"/>
              </w:rPr>
            </w:pPr>
          </w:p>
        </w:tc>
        <w:tc>
          <w:tcPr>
            <w:tcW w:w="1120" w:type="dxa"/>
            <w:vAlign w:val="bottom"/>
            <w:tcBorders>
              <w:top w:val="single" w:sz="8" w:color="F1F2F2"/>
            </w:tcBorders>
            <w:shd w:val="clear" w:color="auto" w:fill="000000"/>
          </w:tcPr>
          <w:p>
            <w:pPr>
              <w:spacing w:after="0" w:line="20" w:lineRule="exact"/>
              <w:rPr>
                <w:sz w:val="1"/>
                <w:szCs w:val="1"/>
                <w:color w:val="auto"/>
              </w:rPr>
            </w:pPr>
          </w:p>
        </w:tc>
        <w:tc>
          <w:tcPr>
            <w:tcW w:w="240" w:type="dxa"/>
            <w:vAlign w:val="bottom"/>
            <w:tcBorders>
              <w:top w:val="single" w:sz="8" w:color="F1F2F2"/>
            </w:tcBorders>
          </w:tcPr>
          <w:p>
            <w:pPr>
              <w:spacing w:after="0" w:line="20" w:lineRule="exact"/>
              <w:rPr>
                <w:sz w:val="1"/>
                <w:szCs w:val="1"/>
                <w:color w:val="auto"/>
              </w:rPr>
            </w:pPr>
          </w:p>
        </w:tc>
        <w:tc>
          <w:tcPr>
            <w:tcW w:w="1700" w:type="dxa"/>
            <w:vAlign w:val="bottom"/>
            <w:tcBorders>
              <w:top w:val="single" w:sz="8" w:color="F1F2F2"/>
            </w:tcBorders>
            <w:shd w:val="clear" w:color="auto" w:fill="000000"/>
          </w:tcPr>
          <w:p>
            <w:pPr>
              <w:spacing w:after="0" w:line="20" w:lineRule="exact"/>
              <w:rPr>
                <w:sz w:val="1"/>
                <w:szCs w:val="1"/>
                <w:color w:val="auto"/>
              </w:rPr>
            </w:pPr>
          </w:p>
        </w:tc>
      </w:tr>
    </w:tbl>
    <w:p>
      <w:pPr>
        <w:spacing w:after="0" w:line="139" w:lineRule="exact"/>
        <w:rPr>
          <w:sz w:val="20"/>
          <w:szCs w:val="20"/>
          <w:color w:val="auto"/>
        </w:rPr>
      </w:pPr>
    </w:p>
    <w:p>
      <w:pPr>
        <w:ind w:left="340" w:hanging="332"/>
        <w:spacing w:after="0" w:line="269" w:lineRule="auto"/>
        <w:tabs>
          <w:tab w:leader="none" w:pos="338" w:val="left"/>
        </w:tabs>
        <w:numPr>
          <w:ilvl w:val="0"/>
          <w:numId w:val="41"/>
        </w:numPr>
        <w:rPr>
          <w:rFonts w:ascii="Arial" w:cs="Arial" w:eastAsia="Arial" w:hAnsi="Arial"/>
          <w:sz w:val="14"/>
          <w:szCs w:val="14"/>
          <w:color w:val="auto"/>
        </w:rPr>
      </w:pPr>
      <w:r>
        <w:rPr>
          <w:rFonts w:ascii="Arial" w:cs="Arial" w:eastAsia="Arial" w:hAnsi="Arial"/>
          <w:sz w:val="14"/>
          <w:szCs w:val="14"/>
          <w:color w:val="auto"/>
        </w:rPr>
        <w:t>“Audit fees” include fees for the audit of our annual financial statements and internal controls for fiscal year 2025, the audit of our annual financial statements for fiscal year 2024, the review of our Annual Report on Form 10-K for fiscal year 2025 and 2024, and the review of our quarterly reports on Form 10-Q for the applicable fiscal quarters in 2025 and 2024, statutory audits required internationally, and consents for and review of registration statements filed with the SEC or other documents issued in connection with securities offerings.</w:t>
      </w:r>
    </w:p>
    <w:p>
      <w:pPr>
        <w:spacing w:after="0" w:line="20" w:lineRule="exact"/>
        <w:rPr>
          <w:rFonts w:ascii="Arial" w:cs="Arial" w:eastAsia="Arial" w:hAnsi="Arial"/>
          <w:sz w:val="14"/>
          <w:szCs w:val="14"/>
          <w:color w:val="auto"/>
        </w:rPr>
      </w:pPr>
    </w:p>
    <w:p>
      <w:pPr>
        <w:ind w:left="340" w:hanging="332"/>
        <w:spacing w:after="0"/>
        <w:tabs>
          <w:tab w:leader="none" w:pos="3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“Tax fees” include fees for tax compliance services.</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“All Other fees” consist of subscription fees to access financial reporting content.</w:t>
      </w:r>
    </w:p>
    <w:p>
      <w:pPr>
        <w:spacing w:after="0" w:line="293" w:lineRule="exact"/>
        <w:rPr>
          <w:sz w:val="20"/>
          <w:szCs w:val="20"/>
          <w:color w:val="auto"/>
        </w:rPr>
      </w:pPr>
    </w:p>
    <w:p>
      <w:pPr>
        <w:ind w:right="200"/>
        <w:spacing w:after="0" w:line="300" w:lineRule="auto"/>
        <w:rPr>
          <w:sz w:val="20"/>
          <w:szCs w:val="20"/>
          <w:color w:val="auto"/>
        </w:rPr>
      </w:pPr>
      <w:r>
        <w:rPr>
          <w:rFonts w:ascii="Arial" w:cs="Arial" w:eastAsia="Arial" w:hAnsi="Arial"/>
          <w:sz w:val="16"/>
          <w:szCs w:val="16"/>
          <w:color w:val="auto"/>
        </w:rPr>
        <w:t>In considering the nature of the services provided by Samil PricewaterhouseCoopers, our independent registered public accounting firm, the Audit Committee determined that such services are compatible with the rules and regulations concerning auditor independence promulgated by the SEC as well as the Public Company Accounting Oversight Board (the “PCAOB”). Samil PricewaterhouseCoopers presented the matters required to be discussed by Auditing Standard No. 1301, Communications with Audit Committees, as adopted by the PCAOB and currently in effect. The Committee received these written disclosures and the letters from Samil PricewaterhouseCoopers required by the applicable requirements of the PCAOB regarding communications concerning independence - including Rule 3524, Audit Committee Pre-approval of Certain Tax Services, and Rule 3526, Communication with Audit Committees Concerning Independence - and discussed with Samil PricewaterhouseCoopers its independence from our Company and management.</w:t>
      </w:r>
    </w:p>
    <w:p>
      <w:pPr>
        <w:spacing w:after="0" w:line="132" w:lineRule="exact"/>
        <w:rPr>
          <w:sz w:val="20"/>
          <w:szCs w:val="20"/>
          <w:color w:val="auto"/>
        </w:rPr>
      </w:pPr>
    </w:p>
    <w:p>
      <w:pPr>
        <w:ind w:right="80"/>
        <w:spacing w:after="0" w:line="304" w:lineRule="auto"/>
        <w:rPr>
          <w:sz w:val="20"/>
          <w:szCs w:val="20"/>
          <w:color w:val="auto"/>
        </w:rPr>
      </w:pPr>
      <w:r>
        <w:rPr>
          <w:rFonts w:ascii="Arial" w:cs="Arial" w:eastAsia="Arial" w:hAnsi="Arial"/>
          <w:sz w:val="16"/>
          <w:szCs w:val="16"/>
          <w:color w:val="auto"/>
        </w:rPr>
        <w:t>The Audit Committee has adopted a policy that requires advance approval of all audit and non-audit services to be performed by the independent registered public accounting firm to assure that the provision of such services does not impair such firm’s independence. This policy generally provides that we will not engage our independent registered public accounting firm to render a service unless the service is specifically approved in advance by the Audit Committee or entered into pursuant to such policy. The term of any pre-approval is twelve (12) months from the date of pre-approval, unless the Audit Committee specifically provides for a different period.</w:t>
      </w:r>
    </w:p>
    <w:p>
      <w:pPr>
        <w:spacing w:after="0" w:line="200" w:lineRule="exact"/>
        <w:rPr>
          <w:sz w:val="20"/>
          <w:szCs w:val="20"/>
          <w:color w:val="auto"/>
        </w:rPr>
      </w:pPr>
    </w:p>
    <w:p>
      <w:pPr>
        <w:spacing w:after="0" w:line="266" w:lineRule="exact"/>
        <w:rPr>
          <w:sz w:val="20"/>
          <w:szCs w:val="20"/>
          <w:color w:val="auto"/>
        </w:rPr>
      </w:pPr>
    </w:p>
    <w:p>
      <w:pPr>
        <w:ind w:left="20"/>
        <w:spacing w:after="0"/>
        <w:tabs>
          <w:tab w:leader="none" w:pos="5360" w:val="left"/>
        </w:tabs>
        <w:rPr>
          <w:sz w:val="20"/>
          <w:szCs w:val="20"/>
          <w:color w:val="auto"/>
        </w:rPr>
      </w:pPr>
      <w:r>
        <w:rPr>
          <w:rFonts w:ascii="Arial" w:cs="Arial" w:eastAsia="Arial" w:hAnsi="Arial"/>
          <w:sz w:val="14"/>
          <w:szCs w:val="14"/>
          <w:b w:val="1"/>
          <w:bCs w:val="1"/>
          <w:color w:val="auto"/>
        </w:rPr>
        <w:t>54</w:t>
      </w:r>
      <w:r>
        <w:rPr>
          <w:sz w:val="20"/>
          <w:szCs w:val="20"/>
          <w:color w:val="auto"/>
        </w:rPr>
        <w:tab/>
      </w:r>
      <w:r>
        <w:rPr>
          <w:sz w:val="1"/>
          <w:szCs w:val="1"/>
          <w:color w:val="auto"/>
        </w:rPr>
        <w:drawing>
          <wp:inline distT="0" distB="0" distL="0" distR="0">
            <wp:extent cx="282575" cy="274320"/>
            <wp:effectExtent l="0" t="0" r="0" b="0"/>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82575" cy="274320"/>
                    </a:xfrm>
                    <a:prstGeom prst="rect">
                      <a:avLst/>
                    </a:prstGeom>
                    <a:noFill/>
                    <a:ln>
                      <a:noFill/>
                    </a:ln>
                  </pic:spPr>
                </pic:pic>
              </a:graphicData>
            </a:graphic>
          </wp:inline>
        </w:drawing>
      </w:r>
      <w:r>
        <w:rPr>
          <w:rFonts w:ascii="Arial" w:cs="Arial" w:eastAsia="Arial" w:hAnsi="Arial"/>
          <w:sz w:val="14"/>
          <w:szCs w:val="14"/>
          <w:b w:val="1"/>
          <w:bCs w:val="1"/>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54"/>
          <w:szCs w:val="54"/>
          <w:b w:val="1"/>
          <w:bCs w:val="1"/>
          <w:color w:val="00DC64"/>
        </w:rPr>
        <w:t>Report of the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right="120"/>
        <w:spacing w:after="0" w:line="321" w:lineRule="auto"/>
        <w:rPr>
          <w:sz w:val="20"/>
          <w:szCs w:val="20"/>
          <w:color w:val="auto"/>
        </w:rPr>
      </w:pPr>
      <w:r>
        <w:rPr>
          <w:rFonts w:ascii="Arial" w:cs="Arial" w:eastAsia="Arial" w:hAnsi="Arial"/>
          <w:sz w:val="16"/>
          <w:szCs w:val="16"/>
          <w:color w:val="auto"/>
        </w:rPr>
        <w:t>The purpose of the Audit Committee is to oversee the accounting and financial reporting process of the Company and the audits of the Company’s financial statements.</w:t>
      </w:r>
    </w:p>
    <w:p>
      <w:pPr>
        <w:spacing w:after="0" w:line="115" w:lineRule="exact"/>
        <w:rPr>
          <w:sz w:val="20"/>
          <w:szCs w:val="20"/>
          <w:color w:val="auto"/>
        </w:rPr>
      </w:pPr>
    </w:p>
    <w:p>
      <w:pPr>
        <w:ind w:right="360"/>
        <w:spacing w:after="0" w:line="304" w:lineRule="auto"/>
        <w:rPr>
          <w:sz w:val="20"/>
          <w:szCs w:val="20"/>
          <w:color w:val="auto"/>
        </w:rPr>
      </w:pPr>
      <w:r>
        <w:rPr>
          <w:rFonts w:ascii="Arial" w:cs="Arial" w:eastAsia="Arial" w:hAnsi="Arial"/>
          <w:sz w:val="16"/>
          <w:szCs w:val="16"/>
          <w:color w:val="auto"/>
        </w:rPr>
        <w:t>The Audit Committee’s principal responsibility is one of oversight. Management of the Company is responsible for preparing the Company’s financial statements, determining that they are complete, accurate, and in accordance with generally accepted accounting principles and establishing satisfactory disclosure controls and internal control over financial reporting. Samil PricewaterhouseCoopers is responsible for auditing the Company’s financial statements and the effectiveness of the Company’s internal control over financial reporting, and reports directly to the Audit Committee. The Company’s internal and outside counsel are responsible for assuring compliance with laws and regulations and the Company’s corporate governance policies.</w:t>
      </w:r>
    </w:p>
    <w:p>
      <w:pPr>
        <w:spacing w:after="0" w:line="131" w:lineRule="exact"/>
        <w:rPr>
          <w:sz w:val="20"/>
          <w:szCs w:val="20"/>
          <w:color w:val="auto"/>
        </w:rPr>
      </w:pPr>
    </w:p>
    <w:p>
      <w:pPr>
        <w:ind w:right="240"/>
        <w:spacing w:after="0" w:line="304" w:lineRule="auto"/>
        <w:rPr>
          <w:sz w:val="20"/>
          <w:szCs w:val="20"/>
          <w:color w:val="auto"/>
        </w:rPr>
      </w:pPr>
      <w:r>
        <w:rPr>
          <w:rFonts w:ascii="Arial" w:cs="Arial" w:eastAsia="Arial" w:hAnsi="Arial"/>
          <w:sz w:val="16"/>
          <w:szCs w:val="16"/>
          <w:color w:val="auto"/>
        </w:rPr>
        <w:t>In fulfilling its oversight responsibilities, the Audit Committee reviewed and discussed with management and the independent auditors the audited consolidated financial statements in our Annual Report on Form 10-K for the year ended December 31, 2025, including a discussion of the quality, rather than just the acceptability, of the accounting principles, the reasonableness of significant judgments and the completeness and clarity of disclosures in the financial statements. The Audit Committee also discussed with the independent auditors such other matters as are required to be discussed under the applicable requirements of the Public Company Accounting Oversight Board (the “PCAOB”), the SEC and Nasdaq.</w:t>
      </w:r>
    </w:p>
    <w:p>
      <w:pPr>
        <w:spacing w:after="0" w:line="131"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In addition, the Audit Committee received written disclosures and the letter from the independent auditors required by the applicable requirements of the PCAOB regarding the independent auditors’ communications with the Audit Committee concerning independence. The Audit Committee discussed with the independent auditors their independence from the Company and its management. In concluding that the independent auditors are independent, the Audit Committee determined, among other things, that the provision of services during the fiscal year ended December 31, 2025 by the auditors that</w:t>
      </w:r>
    </w:p>
    <w:p>
      <w:pPr>
        <w:spacing w:after="0" w:line="3"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were unrelated to their audit of the consolidated financial statements referred to above and to their reviews of our interim consolidated financial statements during the fiscal year was compatible with maintaining their independence. Consistent with the requirements of the Sarbanes-Oxley Act of 2002, as amended, the Audit Committee has adopted policies to ensure the independence of the independent auditors, such as prior committee approval of non-audit services and required audit partner rotation.</w:t>
      </w:r>
    </w:p>
    <w:p>
      <w:pPr>
        <w:spacing w:after="0" w:line="123" w:lineRule="exact"/>
        <w:rPr>
          <w:sz w:val="20"/>
          <w:szCs w:val="20"/>
          <w:color w:val="auto"/>
        </w:rPr>
      </w:pPr>
    </w:p>
    <w:p>
      <w:pPr>
        <w:ind w:right="180"/>
        <w:spacing w:after="0" w:line="310" w:lineRule="auto"/>
        <w:rPr>
          <w:sz w:val="20"/>
          <w:szCs w:val="20"/>
          <w:color w:val="auto"/>
        </w:rPr>
      </w:pPr>
      <w:r>
        <w:rPr>
          <w:rFonts w:ascii="Arial" w:cs="Arial" w:eastAsia="Arial" w:hAnsi="Arial"/>
          <w:sz w:val="16"/>
          <w:szCs w:val="16"/>
          <w:color w:val="auto"/>
        </w:rPr>
        <w:t>Additionally, the Audit Committee discussed with the independent auditors the overall scope and plan for their audit. The Audit Committee met with the independent auditors, with and without management present, to discuss the results of their audit, their observations on our internal controls and the overall quality of our financial reporting.</w:t>
      </w:r>
    </w:p>
    <w:p>
      <w:pPr>
        <w:spacing w:after="0" w:line="124"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Based on the reviews and discussions referred to above, the Audit Committee recommended to the Board (and the Board subsequently approved the recommendation) that the audited consolidated financial statements be included in our Annual Report on Form 10-K for the year ended December 31, 2025 for filing with the SEC. The Audit Committee has also appointed Samil PricewaterhouseCoopers as the Company’s independent auditor, subject to stockholder ratification, for the year ending December 31, 2026.</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auto"/>
        </w:rPr>
        <w:t>The Audit Committee of the Board of Directors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Isabelle Winkles, Chairperson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Nancy Dubuc</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Saeju Jeong</w:t>
      </w:r>
    </w:p>
    <w:p>
      <w:pPr>
        <w:spacing w:after="0" w:line="196" w:lineRule="exact"/>
        <w:rPr>
          <w:sz w:val="20"/>
          <w:szCs w:val="20"/>
          <w:color w:val="auto"/>
        </w:rPr>
      </w:pPr>
    </w:p>
    <w:p>
      <w:pPr>
        <w:ind w:right="200"/>
        <w:spacing w:after="0" w:line="318" w:lineRule="auto"/>
        <w:rPr>
          <w:sz w:val="20"/>
          <w:szCs w:val="20"/>
          <w:color w:val="auto"/>
        </w:rPr>
      </w:pPr>
      <w:r>
        <w:rPr>
          <w:rFonts w:ascii="Arial" w:cs="Arial" w:eastAsia="Arial" w:hAnsi="Arial"/>
          <w:sz w:val="16"/>
          <w:szCs w:val="16"/>
          <w:i w:val="1"/>
          <w:iCs w:val="1"/>
          <w:color w:val="auto"/>
        </w:rPr>
        <w:t>The material in this report is not “soliciting material,” is not deemed “filed” with the SEC and is not to be incorporated by reference into any filing made by WEBTOON Entertainment Inc. under the Securities Act or the Exchange Act, whether made before or after the date hereof and irrespective of any general incorporation language in any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297815</wp:posOffset>
            </wp:positionV>
            <wp:extent cx="282575" cy="27432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82575"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280" w:type="dxa"/>
            <w:vAlign w:val="bottom"/>
          </w:tcPr>
          <w:p>
            <w:pPr>
              <w:ind w:left="20"/>
              <w:spacing w:after="0"/>
              <w:rPr>
                <w:sz w:val="20"/>
                <w:szCs w:val="20"/>
                <w:color w:val="auto"/>
              </w:rPr>
            </w:pPr>
            <w:r>
              <w:rPr>
                <w:rFonts w:ascii="Arial" w:cs="Arial" w:eastAsia="Arial" w:hAnsi="Arial"/>
                <w:sz w:val="14"/>
                <w:szCs w:val="14"/>
                <w:b w:val="1"/>
                <w:bCs w:val="1"/>
                <w:color w:val="auto"/>
              </w:rPr>
              <w:t>2026 Proxy Statement</w:t>
            </w:r>
          </w:p>
        </w:tc>
        <w:tc>
          <w:tcPr>
            <w:tcW w:w="4960" w:type="dxa"/>
            <w:vAlign w:val="bottom"/>
          </w:tcPr>
          <w:p>
            <w:pPr>
              <w:jc w:val="right"/>
              <w:spacing w:after="0"/>
              <w:rPr>
                <w:sz w:val="20"/>
                <w:szCs w:val="20"/>
                <w:color w:val="auto"/>
              </w:rPr>
            </w:pPr>
            <w:r>
              <w:rPr>
                <w:rFonts w:ascii="Arial" w:cs="Arial" w:eastAsia="Arial" w:hAnsi="Arial"/>
                <w:sz w:val="14"/>
                <w:szCs w:val="14"/>
                <w:b w:val="1"/>
                <w:bCs w:val="1"/>
                <w:color w:val="auto"/>
              </w:rPr>
              <w:t>55</w:t>
            </w:r>
          </w:p>
        </w:tc>
      </w:tr>
      <w:tr>
        <w:trPr>
          <w:trHeight w:val="373"/>
        </w:trPr>
        <w:tc>
          <w:tcPr>
            <w:tcW w:w="6280" w:type="dxa"/>
            <w:vAlign w:val="bottom"/>
            <w:tcBorders>
              <w:bottom w:val="single" w:sz="8" w:color="9A9A9A"/>
            </w:tcBorders>
          </w:tcPr>
          <w:p>
            <w:pPr>
              <w:spacing w:after="0"/>
              <w:rPr>
                <w:sz w:val="24"/>
                <w:szCs w:val="24"/>
                <w:color w:val="auto"/>
              </w:rPr>
            </w:pPr>
          </w:p>
        </w:tc>
        <w:tc>
          <w:tcPr>
            <w:tcW w:w="4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54"/>
          <w:szCs w:val="54"/>
          <w:b w:val="1"/>
          <w:bCs w:val="1"/>
          <w:color w:val="00DC64"/>
        </w:rPr>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right="160"/>
        <w:spacing w:after="0" w:line="310" w:lineRule="auto"/>
        <w:rPr>
          <w:sz w:val="20"/>
          <w:szCs w:val="20"/>
          <w:color w:val="auto"/>
        </w:rPr>
      </w:pPr>
      <w:r>
        <w:rPr>
          <w:rFonts w:ascii="Arial" w:cs="Arial" w:eastAsia="Arial" w:hAnsi="Arial"/>
          <w:sz w:val="16"/>
          <w:szCs w:val="16"/>
          <w:color w:val="auto"/>
        </w:rPr>
        <w:t>We are not aware of any matters other than those discussed in the foregoing materials contemplated for action at the Annual Meeting. The persons named in the proxy card will vote in accordance with the recommendation of the Board on any other matters incidental to the conduct of, or otherwise properly brought before, the Annual Meeting. The proxy card contains discretionary authority for them to do so.</w:t>
      </w:r>
    </w:p>
    <w:p>
      <w:pPr>
        <w:spacing w:after="0" w:line="124" w:lineRule="exact"/>
        <w:rPr>
          <w:sz w:val="20"/>
          <w:szCs w:val="20"/>
          <w:color w:val="auto"/>
        </w:rPr>
      </w:pPr>
    </w:p>
    <w:p>
      <w:pPr>
        <w:spacing w:after="0" w:line="303" w:lineRule="auto"/>
        <w:rPr>
          <w:sz w:val="20"/>
          <w:szCs w:val="20"/>
          <w:color w:val="auto"/>
        </w:rPr>
      </w:pPr>
      <w:r>
        <w:rPr>
          <w:rFonts w:ascii="Arial" w:cs="Arial" w:eastAsia="Arial" w:hAnsi="Arial"/>
          <w:sz w:val="16"/>
          <w:szCs w:val="16"/>
          <w:color w:val="auto"/>
        </w:rPr>
        <w:t>Notice of Internet Availability of Proxy Statement and Annual Report. We distribute proxy materials to many stockholders via the internet under the SEC’s “Notice and Access” rules to reduce production and mailing costs and to help preserve environmental resources. Using this method of distribution, on or about April 22, 2026, we mailed the Notice Regarding the Availability of Proxy Materials that contains basic information about the Annual Meeting and instructions on how to view all proxy materials and vote. If you receive the notice and prefer to receive proxy materials by regular mail or email, follow the instructions in the notice for making this request, and the materials will be sent promptly to you via the preferred method. If you prefer to vote by phone rather than online, the website listed on the notice (www.ProxyVote.com) has instructions for voting by phone.</w:t>
      </w:r>
    </w:p>
    <w:p>
      <w:pPr>
        <w:spacing w:after="0" w:line="132" w:lineRule="exact"/>
        <w:rPr>
          <w:sz w:val="20"/>
          <w:szCs w:val="20"/>
          <w:color w:val="auto"/>
        </w:rPr>
      </w:pPr>
    </w:p>
    <w:p>
      <w:pPr>
        <w:spacing w:after="0" w:line="299" w:lineRule="auto"/>
        <w:rPr>
          <w:sz w:val="20"/>
          <w:szCs w:val="20"/>
          <w:color w:val="auto"/>
        </w:rPr>
      </w:pPr>
      <w:r>
        <w:rPr>
          <w:rFonts w:ascii="Arial" w:cs="Arial" w:eastAsia="Arial" w:hAnsi="Arial"/>
          <w:sz w:val="16"/>
          <w:szCs w:val="16"/>
          <w:color w:val="auto"/>
        </w:rPr>
        <w:t>Householding. We have adopted a procedure approved by the SEC called “householding.” Under the householding procedure, certain stockholders, whether they own registered shares or shares in street name, who have the same address and who receive either notices or paper copies of the proxy materials in the mail will receive only one copy of our proxy materials, or a single notice, for all stockholders at that address, unless one or more of the stockholders at that address has previously notified us that they want to receive separate copies. Regardless of how you own your shares, if you received a single set of proxy materials as a result of householding, and one or more stockholders at your address would like to have separate copies of these materials with respect to the Annual Meeting or in the future, or if you would like to request that only a single set of proxy materials be sent to the household, please contact Broadridge Financial Solutions, Inc., at 1-866-540-7095 and follow the instruction or you may send a written request with your name, the name of your financial institution and your account number at the firm to: Householding Department, 51 Mercedes Way, Edgewood, NY 11717. If you revoke your householding election, each primary account holder will be receiving individual copies within 30 days of your revocation.</w:t>
      </w:r>
    </w:p>
    <w:p>
      <w:pPr>
        <w:spacing w:after="0" w:line="138"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Cost of Proxy Solicitation. We are paying the expenses of this solicitation. We will also make arrangements with brokerage houses and other custodians, nominees and fiduciaries to forward proxy materials to beneficial owners of stock held as of the Record Date by such persons, and we will reimburse such persons for their reasonable out-of-pocket expenses in forwarding such proxy materials. In addition to solicitation by mail, directors, officers and other employees of the Company may solicit proxies in person or by telephone, facsimile, email or other similar means.</w:t>
      </w:r>
    </w:p>
    <w:p>
      <w:pPr>
        <w:spacing w:after="0" w:line="200" w:lineRule="exact"/>
        <w:rPr>
          <w:sz w:val="20"/>
          <w:szCs w:val="20"/>
          <w:color w:val="auto"/>
        </w:rPr>
      </w:pPr>
    </w:p>
    <w:p>
      <w:pPr>
        <w:spacing w:after="0" w:line="264" w:lineRule="exact"/>
        <w:rPr>
          <w:sz w:val="20"/>
          <w:szCs w:val="20"/>
          <w:color w:val="auto"/>
        </w:rPr>
      </w:pPr>
    </w:p>
    <w:p>
      <w:pPr>
        <w:ind w:left="20"/>
        <w:spacing w:after="0"/>
        <w:tabs>
          <w:tab w:leader="none" w:pos="5360" w:val="left"/>
        </w:tabs>
        <w:rPr>
          <w:sz w:val="20"/>
          <w:szCs w:val="20"/>
          <w:color w:val="auto"/>
        </w:rPr>
      </w:pPr>
      <w:r>
        <w:rPr>
          <w:rFonts w:ascii="Arial" w:cs="Arial" w:eastAsia="Arial" w:hAnsi="Arial"/>
          <w:sz w:val="14"/>
          <w:szCs w:val="14"/>
          <w:b w:val="1"/>
          <w:bCs w:val="1"/>
          <w:color w:val="auto"/>
        </w:rPr>
        <w:t>56</w:t>
      </w:r>
      <w:r>
        <w:rPr>
          <w:sz w:val="20"/>
          <w:szCs w:val="20"/>
          <w:color w:val="auto"/>
        </w:rPr>
        <w:tab/>
      </w:r>
      <w:r>
        <w:rPr>
          <w:sz w:val="1"/>
          <w:szCs w:val="1"/>
          <w:color w:val="auto"/>
        </w:rPr>
        <w:drawing>
          <wp:inline distT="0" distB="0" distL="0" distR="0">
            <wp:extent cx="282575" cy="274320"/>
            <wp:effectExtent l="0" t="0" r="0" b="0"/>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82575" cy="274320"/>
                    </a:xfrm>
                    <a:prstGeom prst="rect">
                      <a:avLst/>
                    </a:prstGeom>
                    <a:noFill/>
                    <a:ln>
                      <a:noFill/>
                    </a:ln>
                  </pic:spPr>
                </pic:pic>
              </a:graphicData>
            </a:graphic>
          </wp:inline>
        </w:drawing>
      </w:r>
      <w:r>
        <w:rPr>
          <w:rFonts w:ascii="Arial" w:cs="Arial" w:eastAsia="Arial" w:hAnsi="Arial"/>
          <w:sz w:val="14"/>
          <w:szCs w:val="14"/>
          <w:b w:val="1"/>
          <w:bCs w:val="1"/>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54"/>
          <w:szCs w:val="54"/>
          <w:b w:val="1"/>
          <w:bCs w:val="1"/>
          <w:color w:val="00DC64"/>
        </w:rPr>
        <w:t>Where to Find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right="100"/>
        <w:spacing w:after="0" w:line="300" w:lineRule="auto"/>
        <w:rPr>
          <w:sz w:val="20"/>
          <w:szCs w:val="20"/>
          <w:color w:val="auto"/>
        </w:rPr>
      </w:pPr>
      <w:r>
        <w:rPr>
          <w:rFonts w:ascii="Arial" w:cs="Arial" w:eastAsia="Arial" w:hAnsi="Arial"/>
          <w:sz w:val="16"/>
          <w:szCs w:val="16"/>
          <w:color w:val="auto"/>
        </w:rPr>
        <w:t>We are subject to the informational requirements of the Exchange Act and in accordance therewith, we file annual, quarterly and current reports and other information with the SEC. Such information may be accessed electronically by means of the SEC’s home page on the Internet at www.sec.gov. We are an electronic filer, and the SEC maintains an Internet site at www.sec.gov that contains the reports and other information we file electronically. These filings are also available on our website at https://ir.webtoon.com. Please note that our website address is provided as an inactive textual reference only. We make available free of charge, through our website, our annual report on Form 10-K, quarterly reports on Form 10-Q and current reports on Form 8-K, and all amendments to those reports as soon as reasonably practicable after such material is electronically filed with or furnished to the SEC. The information provided on or accessible through our website is not part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315595</wp:posOffset>
            </wp:positionV>
            <wp:extent cx="282575" cy="27432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82575"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280" w:type="dxa"/>
            <w:vAlign w:val="bottom"/>
          </w:tcPr>
          <w:p>
            <w:pPr>
              <w:ind w:left="20"/>
              <w:spacing w:after="0"/>
              <w:rPr>
                <w:sz w:val="20"/>
                <w:szCs w:val="20"/>
                <w:color w:val="auto"/>
              </w:rPr>
            </w:pPr>
            <w:r>
              <w:rPr>
                <w:rFonts w:ascii="Arial" w:cs="Arial" w:eastAsia="Arial" w:hAnsi="Arial"/>
                <w:sz w:val="14"/>
                <w:szCs w:val="14"/>
                <w:b w:val="1"/>
                <w:bCs w:val="1"/>
                <w:color w:val="auto"/>
              </w:rPr>
              <w:t>2026 Proxy Statement</w:t>
            </w:r>
          </w:p>
        </w:tc>
        <w:tc>
          <w:tcPr>
            <w:tcW w:w="4960" w:type="dxa"/>
            <w:vAlign w:val="bottom"/>
          </w:tcPr>
          <w:p>
            <w:pPr>
              <w:jc w:val="right"/>
              <w:spacing w:after="0"/>
              <w:rPr>
                <w:sz w:val="20"/>
                <w:szCs w:val="20"/>
                <w:color w:val="auto"/>
              </w:rPr>
            </w:pPr>
            <w:r>
              <w:rPr>
                <w:rFonts w:ascii="Arial" w:cs="Arial" w:eastAsia="Arial" w:hAnsi="Arial"/>
                <w:sz w:val="14"/>
                <w:szCs w:val="14"/>
                <w:b w:val="1"/>
                <w:bCs w:val="1"/>
                <w:color w:val="auto"/>
              </w:rPr>
              <w:t>57</w:t>
            </w:r>
          </w:p>
        </w:tc>
      </w:tr>
      <w:tr>
        <w:trPr>
          <w:trHeight w:val="360"/>
        </w:trPr>
        <w:tc>
          <w:tcPr>
            <w:tcW w:w="6280" w:type="dxa"/>
            <w:vAlign w:val="bottom"/>
            <w:tcBorders>
              <w:bottom w:val="single" w:sz="8" w:color="9A9A9A"/>
            </w:tcBorders>
          </w:tcPr>
          <w:p>
            <w:pPr>
              <w:spacing w:after="0"/>
              <w:rPr>
                <w:sz w:val="24"/>
                <w:szCs w:val="24"/>
                <w:color w:val="auto"/>
              </w:rPr>
            </w:pPr>
          </w:p>
        </w:tc>
        <w:tc>
          <w:tcPr>
            <w:tcW w:w="4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54"/>
          <w:szCs w:val="54"/>
          <w:b w:val="1"/>
          <w:bCs w:val="1"/>
          <w:color w:val="00DC64"/>
        </w:rPr>
        <w:t>Appendix A:</w:t>
      </w:r>
    </w:p>
    <w:p>
      <w:pPr>
        <w:spacing w:after="0" w:line="83" w:lineRule="exact"/>
        <w:rPr>
          <w:sz w:val="20"/>
          <w:szCs w:val="20"/>
          <w:color w:val="auto"/>
        </w:rPr>
      </w:pPr>
    </w:p>
    <w:p>
      <w:pPr>
        <w:spacing w:after="0"/>
        <w:rPr>
          <w:sz w:val="20"/>
          <w:szCs w:val="20"/>
          <w:color w:val="auto"/>
        </w:rPr>
      </w:pPr>
      <w:r>
        <w:rPr>
          <w:rFonts w:ascii="Arial" w:cs="Arial" w:eastAsia="Arial" w:hAnsi="Arial"/>
          <w:sz w:val="54"/>
          <w:szCs w:val="54"/>
          <w:b w:val="1"/>
          <w:bCs w:val="1"/>
          <w:color w:val="00DC64"/>
        </w:rPr>
        <w:t>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right="160"/>
        <w:spacing w:after="0" w:line="321" w:lineRule="auto"/>
        <w:rPr>
          <w:sz w:val="20"/>
          <w:szCs w:val="20"/>
          <w:color w:val="auto"/>
        </w:rPr>
      </w:pPr>
      <w:r>
        <w:rPr>
          <w:rFonts w:ascii="Arial" w:cs="Arial" w:eastAsia="Arial" w:hAnsi="Arial"/>
          <w:sz w:val="16"/>
          <w:szCs w:val="16"/>
          <w:color w:val="auto"/>
        </w:rPr>
        <w:t>This Proxy Statement includes information on Adjusted EBITDA, Adjusted EBITDA Margin, revenue on a constant currency basis and revenue growth on a constant currency basis, which are non-GAAP financial measures.</w:t>
      </w:r>
    </w:p>
    <w:p>
      <w:pPr>
        <w:spacing w:after="0" w:line="115" w:lineRule="exact"/>
        <w:rPr>
          <w:sz w:val="20"/>
          <w:szCs w:val="20"/>
          <w:color w:val="auto"/>
        </w:rPr>
      </w:pPr>
    </w:p>
    <w:p>
      <w:pPr>
        <w:ind w:right="40"/>
        <w:spacing w:after="0" w:line="299" w:lineRule="auto"/>
        <w:rPr>
          <w:sz w:val="20"/>
          <w:szCs w:val="20"/>
          <w:color w:val="auto"/>
        </w:rPr>
      </w:pPr>
      <w:r>
        <w:rPr>
          <w:rFonts w:ascii="Arial" w:cs="Arial" w:eastAsia="Arial" w:hAnsi="Arial"/>
          <w:sz w:val="16"/>
          <w:szCs w:val="16"/>
          <w:color w:val="auto"/>
        </w:rPr>
        <w:t>We define Adjusted EBITDA as EBITDA with further adjustments to eliminate the effects of loss on equity method investments, effect of applying the valuation method of fair value through profit or loss, impairment of goodwill, non-cash stock-based compensation and certain other non-recurring costs. We define EBITDA as net income (loss) before interest income, interest expense, income tax expense and depreciation and amortization. We believe that Adjusted EBITDA provides useful information to investors regarding our performance, as it removes the impact of certain items that are not representative of our ongoing business, such as certain non-cash charges and variable charges. We define Adjusted EBITDA Margin as Adjusted EBITDA divided by revenue. We define revenue on a constant currency basis as revenue adjusted to remove the impact of foreign currency rate fluctuations and the impact of deconsolidated and transferred operations. We calculate revenue on a constant currency basis in a given period by applying the average currency exchange rates in the comparable period of the prior year to the local currency revenue in the current period. We define revenue growth on a constant currency basis as period-over-period growth rates of revenue, adjusted to remove the impact of foreign currency rate fluctuations and the impact of deconsolidated and transferred operations. We calculate revenue growth (as a percentage) on a constant currency basis by determining the increase in current period revenue over prior period revenue, where current period foreign currency revenue is translated using prior period average currency exchange rates. Adjusted EBITDA, Adjusted EBITDA Margin, revenue on a constant currency basis and revenue growth on a constant currency basis are non-GAAP financial measures and are not intended to be substitutes for any GAAP financial measures. They should be considered in addition to, and not as substitutes for, or in isolation from, measures prepared in accordance with GAAP, such as net income (loss), net income (loss) margin or revenue growth rate.</w:t>
      </w:r>
    </w:p>
    <w:p>
      <w:pPr>
        <w:spacing w:after="0" w:line="125"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Using Adjusted EBITDA as a performance measure has material limitations as compared to consolidated net income (loss), or other financial measures as defined under GAAP, as it excludes certain recurring items, which may be meaningful to investors. Adjusted EBITDA excludes interest expense and interest income; however, as we have borrowed money to finance transactions and operations, or invested available cash to generate interest income, interest expense and interest income are elements of our cost structure and can affect our ability to generate revenue and returns for our stockholders. Further, Adjusted EBITDA excludes depreciation and amortization; however, as we use capital and intangible assets to generate revenue, depreciation and amortization are necessary elements of our costs and ability to generate revenue. Finally, Adjusted EBITDA excludes income taxes; however, as we are organized as a corporation, the payment of taxes is a necessary element of our operations. Any measure, including Adjusted EBITDA, that excludes interest expense, depreciation and amortization and income taxes has material limitations as compared to net income. When using Adjusted EBITDA as a performance measure, management compensates for these limitations by comparing Adjusted EBITDA to net loss in each period, to allow for the comparison of the performance of the underlying core operations with the overall performance of the company on a full-cost, after-tax basis.</w:t>
      </w:r>
    </w:p>
    <w:p>
      <w:pPr>
        <w:spacing w:after="0" w:line="123" w:lineRule="exact"/>
        <w:rPr>
          <w:sz w:val="20"/>
          <w:szCs w:val="20"/>
          <w:color w:val="auto"/>
        </w:rPr>
      </w:pPr>
    </w:p>
    <w:p>
      <w:pPr>
        <w:ind w:right="120"/>
        <w:spacing w:after="0" w:line="303" w:lineRule="auto"/>
        <w:rPr>
          <w:sz w:val="20"/>
          <w:szCs w:val="20"/>
          <w:color w:val="auto"/>
        </w:rPr>
      </w:pPr>
      <w:r>
        <w:rPr>
          <w:rFonts w:ascii="Arial" w:cs="Arial" w:eastAsia="Arial" w:hAnsi="Arial"/>
          <w:sz w:val="16"/>
          <w:szCs w:val="16"/>
          <w:color w:val="auto"/>
        </w:rPr>
        <w:t>You are also encouraged to evaluate our calculation of Adjusted EBITDA and Adjusted EBITDA Margin, and the reasons we consider these adjustments appropriate for supplemental analysis. In evaluating this measure, you should be aware that, in the future, we may incur expenses that are the same as or similar to some of the adjustments in our presentation of Adjusted EBITDA. Our presentation of Adjusted EBITDA and Adjusted EBITDA Margin should not be construed as an inference that our future results will be unaffected by unusual or non-recurring items. There can be no assurance that we will not modify the presentation of this measure in the future, and any such modification may be material. Adjusted EBITDA and Adjusted EBITDA Margin have their limitations as analytical tools, and you should not consider them in isolation or as substitutes for analysis of our results as reported under GAAP. Some of these limitations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305435</wp:posOffset>
            </wp:positionV>
            <wp:extent cx="282575" cy="27432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82575"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240" w:type="dxa"/>
            <w:vAlign w:val="bottom"/>
          </w:tcPr>
          <w:p>
            <w:pPr>
              <w:ind w:left="20"/>
              <w:spacing w:after="0"/>
              <w:rPr>
                <w:sz w:val="20"/>
                <w:szCs w:val="20"/>
                <w:color w:val="auto"/>
              </w:rPr>
            </w:pPr>
            <w:r>
              <w:rPr>
                <w:rFonts w:ascii="Arial" w:cs="Arial" w:eastAsia="Arial" w:hAnsi="Arial"/>
                <w:sz w:val="14"/>
                <w:szCs w:val="14"/>
                <w:b w:val="1"/>
                <w:bCs w:val="1"/>
                <w:color w:val="auto"/>
              </w:rPr>
              <w:t>2026 Proxy Statement</w:t>
            </w:r>
          </w:p>
        </w:tc>
        <w:tc>
          <w:tcPr>
            <w:tcW w:w="5000" w:type="dxa"/>
            <w:vAlign w:val="bottom"/>
          </w:tcPr>
          <w:p>
            <w:pPr>
              <w:ind w:left="4720"/>
              <w:spacing w:after="0"/>
              <w:rPr>
                <w:sz w:val="20"/>
                <w:szCs w:val="20"/>
                <w:color w:val="auto"/>
              </w:rPr>
            </w:pPr>
            <w:r>
              <w:rPr>
                <w:rFonts w:ascii="Arial" w:cs="Arial" w:eastAsia="Arial" w:hAnsi="Arial"/>
                <w:sz w:val="14"/>
                <w:szCs w:val="14"/>
                <w:b w:val="1"/>
                <w:bCs w:val="1"/>
                <w:color w:val="auto"/>
              </w:rPr>
              <w:t>A-1</w:t>
            </w:r>
          </w:p>
        </w:tc>
      </w:tr>
      <w:tr>
        <w:trPr>
          <w:trHeight w:val="373"/>
        </w:trPr>
        <w:tc>
          <w:tcPr>
            <w:tcW w:w="6240" w:type="dxa"/>
            <w:vAlign w:val="bottom"/>
            <w:tcBorders>
              <w:bottom w:val="single" w:sz="8" w:color="9A9A9A"/>
            </w:tcBorders>
          </w:tcPr>
          <w:p>
            <w:pPr>
              <w:spacing w:after="0"/>
              <w:rPr>
                <w:sz w:val="24"/>
                <w:szCs w:val="24"/>
                <w:color w:val="auto"/>
              </w:rPr>
            </w:pPr>
          </w:p>
        </w:tc>
        <w:tc>
          <w:tcPr>
            <w:tcW w:w="5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640" w:hanging="308"/>
        <w:spacing w:after="0"/>
        <w:tabs>
          <w:tab w:leader="none" w:pos="6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Adjusted EBITDA does not include the interest expense and the cash requirements necessary to service interest or principal payments on our debt;</w:t>
      </w:r>
    </w:p>
    <w:p>
      <w:pPr>
        <w:spacing w:after="0" w:line="99" w:lineRule="exact"/>
        <w:rPr>
          <w:rFonts w:ascii="Arial" w:cs="Arial" w:eastAsia="Arial" w:hAnsi="Arial"/>
          <w:sz w:val="16"/>
          <w:szCs w:val="16"/>
          <w:color w:val="auto"/>
        </w:rPr>
      </w:pPr>
    </w:p>
    <w:p>
      <w:pPr>
        <w:ind w:left="660" w:right="180" w:hanging="328"/>
        <w:spacing w:after="0" w:line="325" w:lineRule="auto"/>
        <w:tabs>
          <w:tab w:leader="none" w:pos="649" w:val="left"/>
        </w:tabs>
        <w:numPr>
          <w:ilvl w:val="0"/>
          <w:numId w:val="42"/>
        </w:numPr>
        <w:rPr>
          <w:rFonts w:ascii="Arial" w:cs="Arial" w:eastAsia="Arial" w:hAnsi="Arial"/>
          <w:sz w:val="16"/>
          <w:szCs w:val="16"/>
          <w:color w:val="auto"/>
        </w:rPr>
      </w:pPr>
      <w:r>
        <w:rPr>
          <w:rFonts w:ascii="Arial" w:cs="Arial" w:eastAsia="Arial" w:hAnsi="Arial"/>
          <w:sz w:val="16"/>
          <w:szCs w:val="16"/>
          <w:color w:val="auto"/>
        </w:rPr>
        <w:t>Although depreciation and amortization are non-cash charges, the assets being depreciated and amortized may have to be replaced in the future, and Adjusted EBITDA does not reflect cash requirements for replacement of assets that are being depreciated or amortized;</w:t>
      </w:r>
    </w:p>
    <w:p>
      <w:pPr>
        <w:spacing w:after="0" w:line="1" w:lineRule="exact"/>
        <w:rPr>
          <w:rFonts w:ascii="Arial" w:cs="Arial" w:eastAsia="Arial" w:hAnsi="Arial"/>
          <w:sz w:val="16"/>
          <w:szCs w:val="16"/>
          <w:color w:val="auto"/>
        </w:rPr>
      </w:pPr>
    </w:p>
    <w:p>
      <w:pPr>
        <w:ind w:left="640" w:hanging="308"/>
        <w:spacing w:after="0"/>
        <w:tabs>
          <w:tab w:leader="none" w:pos="6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Adjusted EBITDA excludes the impact of charges and receipts resulting from matters we do not find indicative of our ongoing operations; and</w:t>
      </w:r>
    </w:p>
    <w:p>
      <w:pPr>
        <w:spacing w:after="0" w:line="99" w:lineRule="exact"/>
        <w:rPr>
          <w:rFonts w:ascii="Arial" w:cs="Arial" w:eastAsia="Arial" w:hAnsi="Arial"/>
          <w:sz w:val="16"/>
          <w:szCs w:val="16"/>
          <w:color w:val="auto"/>
        </w:rPr>
      </w:pPr>
    </w:p>
    <w:p>
      <w:pPr>
        <w:ind w:left="640" w:hanging="308"/>
        <w:spacing w:after="0"/>
        <w:tabs>
          <w:tab w:leader="none" w:pos="6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Other companies in our industry may calculate Adjusted EBITDA and Adjusted EBITDA Margin differently than we do.</w:t>
      </w:r>
    </w:p>
    <w:p>
      <w:pPr>
        <w:spacing w:after="0" w:line="208" w:lineRule="exact"/>
        <w:rPr>
          <w:sz w:val="20"/>
          <w:szCs w:val="20"/>
          <w:color w:val="auto"/>
        </w:rPr>
      </w:pPr>
    </w:p>
    <w:p>
      <w:pPr>
        <w:ind w:right="40"/>
        <w:spacing w:after="0" w:line="299" w:lineRule="auto"/>
        <w:rPr>
          <w:sz w:val="20"/>
          <w:szCs w:val="20"/>
          <w:color w:val="auto"/>
        </w:rPr>
      </w:pPr>
      <w:r>
        <w:rPr>
          <w:rFonts w:ascii="Arial" w:cs="Arial" w:eastAsia="Arial" w:hAnsi="Arial"/>
          <w:sz w:val="16"/>
          <w:szCs w:val="16"/>
          <w:color w:val="auto"/>
        </w:rPr>
        <w:t>We believe providing revenue and revenue growth rate on a constant currency basis helps our investors better understand our underlying performance because they exclude the effects of foreign currency volatility and impacts of deconsolidated and transferred operations that are not indicative of our actual results of operations. Adjusting revenue to remove the effects of foreign currency rate fluctuations, deconsolidation, and transfer of operations results in non-GAAP measures that management uses to help make informed decisions by removing the volatility caused by foreign currency rate fluctuations and the impact of deconsolidated and transferred operations, allowing us to assess whether the business is fundamentally healthy and growing. Additionally, these metrics support management in efficiently allocating resources and determining priorities by providing a basis for evaluating the competitiveness and growth potential of the business itself. It is for these reasons that management believes these non-GAAP metrics add value, but they have their limitations as analytical tools for not reflecting all the amounts associated with our results of operations as determined in accordance with GAAP, and you should not consider them in isolation or as substitutes for analysis of our results as reported under GAAP.</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a reconciliation of net loss to Adjusted EBITDA and net loss margin to Adjusted EBITDA Margin for the period presented.</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220" w:type="dxa"/>
            <w:vAlign w:val="bottom"/>
          </w:tcPr>
          <w:p>
            <w:pPr>
              <w:ind w:left="100"/>
              <w:spacing w:after="0"/>
              <w:rPr>
                <w:sz w:val="20"/>
                <w:szCs w:val="20"/>
                <w:color w:val="auto"/>
              </w:rPr>
            </w:pPr>
            <w:r>
              <w:rPr>
                <w:rFonts w:ascii="Arial" w:cs="Arial" w:eastAsia="Arial" w:hAnsi="Arial"/>
                <w:sz w:val="14"/>
                <w:szCs w:val="14"/>
                <w:i w:val="1"/>
                <w:iCs w:val="1"/>
                <w:color w:val="auto"/>
              </w:rPr>
              <w:t>(in thousands of USD, except percentage)</w:t>
            </w:r>
          </w:p>
        </w:tc>
        <w:tc>
          <w:tcPr>
            <w:tcW w:w="240" w:type="dxa"/>
            <w:vAlign w:val="bottom"/>
          </w:tcPr>
          <w:p>
            <w:pPr>
              <w:spacing w:after="0"/>
              <w:rPr>
                <w:sz w:val="17"/>
                <w:szCs w:val="17"/>
                <w:color w:val="auto"/>
              </w:rPr>
            </w:pPr>
          </w:p>
        </w:tc>
        <w:tc>
          <w:tcPr>
            <w:tcW w:w="2780" w:type="dxa"/>
            <w:vAlign w:val="bottom"/>
          </w:tcPr>
          <w:p>
            <w:pPr>
              <w:jc w:val="right"/>
              <w:ind w:right="448"/>
              <w:spacing w:after="0"/>
              <w:rPr>
                <w:sz w:val="20"/>
                <w:szCs w:val="20"/>
                <w:color w:val="auto"/>
              </w:rPr>
            </w:pPr>
            <w:r>
              <w:rPr>
                <w:rFonts w:ascii="Arial" w:cs="Arial" w:eastAsia="Arial" w:hAnsi="Arial"/>
                <w:sz w:val="14"/>
                <w:szCs w:val="14"/>
                <w:b w:val="1"/>
                <w:bCs w:val="1"/>
                <w:color w:val="auto"/>
              </w:rPr>
              <w:t>Year Ended December 31, 2025</w:t>
            </w:r>
          </w:p>
        </w:tc>
        <w:tc>
          <w:tcPr>
            <w:tcW w:w="0" w:type="dxa"/>
            <w:vAlign w:val="bottom"/>
          </w:tcPr>
          <w:p>
            <w:pPr>
              <w:spacing w:after="0"/>
              <w:rPr>
                <w:sz w:val="1"/>
                <w:szCs w:val="1"/>
                <w:color w:val="auto"/>
              </w:rPr>
            </w:pPr>
          </w:p>
        </w:tc>
      </w:tr>
      <w:tr>
        <w:trPr>
          <w:trHeight w:val="103"/>
        </w:trPr>
        <w:tc>
          <w:tcPr>
            <w:tcW w:w="8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8220" w:type="dxa"/>
            <w:vAlign w:val="bottom"/>
            <w:shd w:val="clear" w:color="auto" w:fill="F1F2F2"/>
          </w:tcPr>
          <w:p>
            <w:pPr>
              <w:ind w:left="100"/>
              <w:spacing w:after="0"/>
              <w:rPr>
                <w:sz w:val="20"/>
                <w:szCs w:val="20"/>
                <w:color w:val="auto"/>
              </w:rPr>
            </w:pPr>
            <w:r>
              <w:rPr>
                <w:rFonts w:ascii="Arial" w:cs="Arial" w:eastAsia="Arial" w:hAnsi="Arial"/>
                <w:sz w:val="14"/>
                <w:szCs w:val="14"/>
                <w:b w:val="1"/>
                <w:bCs w:val="1"/>
                <w:color w:val="auto"/>
              </w:rPr>
              <w:t>Net Loss</w:t>
            </w:r>
          </w:p>
        </w:tc>
        <w:tc>
          <w:tcPr>
            <w:tcW w:w="240" w:type="dxa"/>
            <w:vAlign w:val="bottom"/>
            <w:shd w:val="clear" w:color="auto" w:fill="F1F2F2"/>
          </w:tcPr>
          <w:p>
            <w:pPr>
              <w:jc w:val="right"/>
              <w:ind w:right="68"/>
              <w:spacing w:after="0"/>
              <w:rPr>
                <w:sz w:val="20"/>
                <w:szCs w:val="20"/>
                <w:color w:val="auto"/>
              </w:rPr>
            </w:pPr>
            <w:r>
              <w:rPr>
                <w:rFonts w:ascii="Arial" w:cs="Arial" w:eastAsia="Arial" w:hAnsi="Arial"/>
                <w:sz w:val="14"/>
                <w:szCs w:val="14"/>
                <w:color w:val="auto"/>
              </w:rPr>
              <w:t>$</w:t>
            </w:r>
          </w:p>
        </w:tc>
        <w:tc>
          <w:tcPr>
            <w:tcW w:w="2780" w:type="dxa"/>
            <w:vAlign w:val="bottom"/>
            <w:shd w:val="clear" w:color="auto" w:fill="F1F2F2"/>
          </w:tcPr>
          <w:p>
            <w:pPr>
              <w:jc w:val="right"/>
              <w:ind w:right="228"/>
              <w:spacing w:after="0"/>
              <w:rPr>
                <w:sz w:val="20"/>
                <w:szCs w:val="20"/>
                <w:color w:val="auto"/>
              </w:rPr>
            </w:pPr>
            <w:r>
              <w:rPr>
                <w:rFonts w:ascii="Arial" w:cs="Arial" w:eastAsia="Arial" w:hAnsi="Arial"/>
                <w:sz w:val="14"/>
                <w:szCs w:val="14"/>
                <w:color w:val="auto"/>
              </w:rPr>
              <w:t>(373,387)</w:t>
            </w:r>
          </w:p>
        </w:tc>
        <w:tc>
          <w:tcPr>
            <w:tcW w:w="0" w:type="dxa"/>
            <w:vAlign w:val="bottom"/>
          </w:tcPr>
          <w:p>
            <w:pPr>
              <w:spacing w:after="0"/>
              <w:rPr>
                <w:sz w:val="1"/>
                <w:szCs w:val="1"/>
                <w:color w:val="auto"/>
              </w:rPr>
            </w:pPr>
          </w:p>
        </w:tc>
      </w:tr>
      <w:tr>
        <w:trPr>
          <w:trHeight w:val="208"/>
        </w:trPr>
        <w:tc>
          <w:tcPr>
            <w:tcW w:w="8220" w:type="dxa"/>
            <w:vAlign w:val="bottom"/>
          </w:tcPr>
          <w:p>
            <w:pPr>
              <w:ind w:left="100"/>
              <w:spacing w:after="0"/>
              <w:rPr>
                <w:sz w:val="20"/>
                <w:szCs w:val="20"/>
                <w:color w:val="auto"/>
              </w:rPr>
            </w:pPr>
            <w:r>
              <w:rPr>
                <w:rFonts w:ascii="Arial" w:cs="Arial" w:eastAsia="Arial" w:hAnsi="Arial"/>
                <w:sz w:val="14"/>
                <w:szCs w:val="14"/>
                <w:color w:val="auto"/>
              </w:rPr>
              <w:t>Plus (minus):</w:t>
            </w:r>
          </w:p>
        </w:tc>
        <w:tc>
          <w:tcPr>
            <w:tcW w:w="2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8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220" w:type="dxa"/>
            <w:vAlign w:val="bottom"/>
            <w:tcBorders>
              <w:bottom w:val="single" w:sz="8" w:color="F1F2F2"/>
            </w:tcBorders>
            <w:shd w:val="clear" w:color="auto" w:fill="F1F2F2"/>
          </w:tcPr>
          <w:p>
            <w:pPr>
              <w:ind w:left="260"/>
              <w:spacing w:after="0"/>
              <w:rPr>
                <w:sz w:val="20"/>
                <w:szCs w:val="20"/>
                <w:color w:val="auto"/>
              </w:rPr>
            </w:pPr>
            <w:r>
              <w:rPr>
                <w:rFonts w:ascii="Arial" w:cs="Arial" w:eastAsia="Arial" w:hAnsi="Arial"/>
                <w:sz w:val="14"/>
                <w:szCs w:val="14"/>
                <w:color w:val="auto"/>
              </w:rPr>
              <w:t>Interest income</w:t>
            </w:r>
          </w:p>
        </w:tc>
        <w:tc>
          <w:tcPr>
            <w:tcW w:w="240" w:type="dxa"/>
            <w:vAlign w:val="bottom"/>
            <w:tcBorders>
              <w:bottom w:val="single" w:sz="8" w:color="F1F2F2"/>
            </w:tcBorders>
            <w:shd w:val="clear" w:color="auto" w:fill="F1F2F2"/>
          </w:tcPr>
          <w:p>
            <w:pPr>
              <w:spacing w:after="0"/>
              <w:rPr>
                <w:sz w:val="18"/>
                <w:szCs w:val="18"/>
                <w:color w:val="auto"/>
              </w:rPr>
            </w:pPr>
          </w:p>
        </w:tc>
        <w:tc>
          <w:tcPr>
            <w:tcW w:w="2780" w:type="dxa"/>
            <w:vAlign w:val="bottom"/>
            <w:tcBorders>
              <w:bottom w:val="single" w:sz="8" w:color="F1F2F2"/>
            </w:tcBorders>
            <w:shd w:val="clear" w:color="auto" w:fill="F1F2F2"/>
          </w:tcPr>
          <w:p>
            <w:pPr>
              <w:jc w:val="right"/>
              <w:ind w:right="228"/>
              <w:spacing w:after="0"/>
              <w:rPr>
                <w:sz w:val="20"/>
                <w:szCs w:val="20"/>
                <w:color w:val="auto"/>
              </w:rPr>
            </w:pPr>
            <w:r>
              <w:rPr>
                <w:rFonts w:ascii="Arial" w:cs="Arial" w:eastAsia="Arial" w:hAnsi="Arial"/>
                <w:sz w:val="14"/>
                <w:szCs w:val="14"/>
                <w:color w:val="auto"/>
              </w:rPr>
              <w:t>(19,170)</w:t>
            </w:r>
          </w:p>
        </w:tc>
        <w:tc>
          <w:tcPr>
            <w:tcW w:w="0" w:type="dxa"/>
            <w:vAlign w:val="bottom"/>
          </w:tcPr>
          <w:p>
            <w:pPr>
              <w:spacing w:after="0"/>
              <w:rPr>
                <w:sz w:val="1"/>
                <w:szCs w:val="1"/>
                <w:color w:val="auto"/>
              </w:rPr>
            </w:pPr>
          </w:p>
        </w:tc>
      </w:tr>
      <w:tr>
        <w:trPr>
          <w:trHeight w:val="208"/>
        </w:trPr>
        <w:tc>
          <w:tcPr>
            <w:tcW w:w="8220" w:type="dxa"/>
            <w:vAlign w:val="bottom"/>
          </w:tcPr>
          <w:p>
            <w:pPr>
              <w:ind w:left="260"/>
              <w:spacing w:after="0"/>
              <w:rPr>
                <w:sz w:val="20"/>
                <w:szCs w:val="20"/>
                <w:color w:val="auto"/>
              </w:rPr>
            </w:pPr>
            <w:r>
              <w:rPr>
                <w:rFonts w:ascii="Arial" w:cs="Arial" w:eastAsia="Arial" w:hAnsi="Arial"/>
                <w:sz w:val="14"/>
                <w:szCs w:val="14"/>
                <w:color w:val="auto"/>
              </w:rPr>
              <w:t>Interest expense</w:t>
            </w:r>
          </w:p>
        </w:tc>
        <w:tc>
          <w:tcPr>
            <w:tcW w:w="240" w:type="dxa"/>
            <w:vAlign w:val="bottom"/>
          </w:tcPr>
          <w:p>
            <w:pPr>
              <w:spacing w:after="0"/>
              <w:rPr>
                <w:sz w:val="18"/>
                <w:szCs w:val="18"/>
                <w:color w:val="auto"/>
              </w:rPr>
            </w:pPr>
          </w:p>
        </w:tc>
        <w:tc>
          <w:tcPr>
            <w:tcW w:w="2780" w:type="dxa"/>
            <w:vAlign w:val="bottom"/>
          </w:tcPr>
          <w:p>
            <w:pPr>
              <w:jc w:val="right"/>
              <w:ind w:right="268"/>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22"/>
        </w:trPr>
        <w:tc>
          <w:tcPr>
            <w:tcW w:w="8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220" w:type="dxa"/>
            <w:vAlign w:val="bottom"/>
            <w:tcBorders>
              <w:bottom w:val="single" w:sz="8" w:color="F1F2F2"/>
            </w:tcBorders>
            <w:shd w:val="clear" w:color="auto" w:fill="F1F2F2"/>
          </w:tcPr>
          <w:p>
            <w:pPr>
              <w:ind w:left="260"/>
              <w:spacing w:after="0"/>
              <w:rPr>
                <w:sz w:val="20"/>
                <w:szCs w:val="20"/>
                <w:color w:val="auto"/>
              </w:rPr>
            </w:pPr>
            <w:r>
              <w:rPr>
                <w:rFonts w:ascii="Arial" w:cs="Arial" w:eastAsia="Arial" w:hAnsi="Arial"/>
                <w:sz w:val="14"/>
                <w:szCs w:val="14"/>
                <w:color w:val="auto"/>
              </w:rPr>
              <w:t>Income tax benefit</w:t>
            </w:r>
          </w:p>
        </w:tc>
        <w:tc>
          <w:tcPr>
            <w:tcW w:w="240" w:type="dxa"/>
            <w:vAlign w:val="bottom"/>
            <w:tcBorders>
              <w:bottom w:val="single" w:sz="8" w:color="F1F2F2"/>
            </w:tcBorders>
            <w:shd w:val="clear" w:color="auto" w:fill="F1F2F2"/>
          </w:tcPr>
          <w:p>
            <w:pPr>
              <w:spacing w:after="0"/>
              <w:rPr>
                <w:sz w:val="18"/>
                <w:szCs w:val="18"/>
                <w:color w:val="auto"/>
              </w:rPr>
            </w:pPr>
          </w:p>
        </w:tc>
        <w:tc>
          <w:tcPr>
            <w:tcW w:w="2780" w:type="dxa"/>
            <w:vAlign w:val="bottom"/>
            <w:tcBorders>
              <w:bottom w:val="single" w:sz="8" w:color="F1F2F2"/>
            </w:tcBorders>
            <w:shd w:val="clear" w:color="auto" w:fill="F1F2F2"/>
          </w:tcPr>
          <w:p>
            <w:pPr>
              <w:jc w:val="right"/>
              <w:ind w:right="228"/>
              <w:spacing w:after="0"/>
              <w:rPr>
                <w:sz w:val="20"/>
                <w:szCs w:val="20"/>
                <w:color w:val="auto"/>
              </w:rPr>
            </w:pPr>
            <w:r>
              <w:rPr>
                <w:rFonts w:ascii="Arial" w:cs="Arial" w:eastAsia="Arial" w:hAnsi="Arial"/>
                <w:sz w:val="14"/>
                <w:szCs w:val="14"/>
                <w:color w:val="auto"/>
              </w:rPr>
              <w:t>(16,022)</w:t>
            </w:r>
          </w:p>
        </w:tc>
        <w:tc>
          <w:tcPr>
            <w:tcW w:w="0" w:type="dxa"/>
            <w:vAlign w:val="bottom"/>
          </w:tcPr>
          <w:p>
            <w:pPr>
              <w:spacing w:after="0"/>
              <w:rPr>
                <w:sz w:val="1"/>
                <w:szCs w:val="1"/>
                <w:color w:val="auto"/>
              </w:rPr>
            </w:pPr>
          </w:p>
        </w:tc>
      </w:tr>
      <w:tr>
        <w:trPr>
          <w:trHeight w:val="208"/>
        </w:trPr>
        <w:tc>
          <w:tcPr>
            <w:tcW w:w="8220" w:type="dxa"/>
            <w:vAlign w:val="bottom"/>
          </w:tcPr>
          <w:p>
            <w:pPr>
              <w:ind w:left="260"/>
              <w:spacing w:after="0"/>
              <w:rPr>
                <w:sz w:val="20"/>
                <w:szCs w:val="20"/>
                <w:color w:val="auto"/>
              </w:rPr>
            </w:pPr>
            <w:r>
              <w:rPr>
                <w:rFonts w:ascii="Arial" w:cs="Arial" w:eastAsia="Arial" w:hAnsi="Arial"/>
                <w:sz w:val="14"/>
                <w:szCs w:val="14"/>
                <w:color w:val="auto"/>
              </w:rPr>
              <w:t>Depreciation and amortization</w:t>
            </w:r>
          </w:p>
        </w:tc>
        <w:tc>
          <w:tcPr>
            <w:tcW w:w="240" w:type="dxa"/>
            <w:vAlign w:val="bottom"/>
          </w:tcPr>
          <w:p>
            <w:pPr>
              <w:spacing w:after="0"/>
              <w:rPr>
                <w:sz w:val="18"/>
                <w:szCs w:val="18"/>
                <w:color w:val="auto"/>
              </w:rPr>
            </w:pPr>
          </w:p>
        </w:tc>
        <w:tc>
          <w:tcPr>
            <w:tcW w:w="2780" w:type="dxa"/>
            <w:vAlign w:val="bottom"/>
          </w:tcPr>
          <w:p>
            <w:pPr>
              <w:jc w:val="right"/>
              <w:ind w:right="268"/>
              <w:spacing w:after="0"/>
              <w:rPr>
                <w:sz w:val="20"/>
                <w:szCs w:val="20"/>
                <w:color w:val="auto"/>
              </w:rPr>
            </w:pPr>
            <w:r>
              <w:rPr>
                <w:rFonts w:ascii="Arial" w:cs="Arial" w:eastAsia="Arial" w:hAnsi="Arial"/>
                <w:sz w:val="14"/>
                <w:szCs w:val="14"/>
                <w:color w:val="auto"/>
              </w:rPr>
              <w:t>35,431</w:t>
            </w:r>
          </w:p>
        </w:tc>
        <w:tc>
          <w:tcPr>
            <w:tcW w:w="0" w:type="dxa"/>
            <w:vAlign w:val="bottom"/>
          </w:tcPr>
          <w:p>
            <w:pPr>
              <w:spacing w:after="0"/>
              <w:rPr>
                <w:sz w:val="1"/>
                <w:szCs w:val="1"/>
                <w:color w:val="auto"/>
              </w:rPr>
            </w:pPr>
          </w:p>
        </w:tc>
      </w:tr>
      <w:tr>
        <w:trPr>
          <w:trHeight w:val="22"/>
        </w:trPr>
        <w:tc>
          <w:tcPr>
            <w:tcW w:w="8220" w:type="dxa"/>
            <w:vAlign w:val="bottom"/>
            <w:tcBorders>
              <w:bottom w:val="single" w:sz="8" w:color="F1F2F2"/>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8220" w:type="dxa"/>
            <w:vAlign w:val="bottom"/>
            <w:shd w:val="clear" w:color="auto" w:fill="F1F2F2"/>
          </w:tcPr>
          <w:p>
            <w:pPr>
              <w:ind w:left="100"/>
              <w:spacing w:after="0"/>
              <w:rPr>
                <w:sz w:val="20"/>
                <w:szCs w:val="20"/>
                <w:color w:val="auto"/>
              </w:rPr>
            </w:pPr>
            <w:r>
              <w:rPr>
                <w:rFonts w:ascii="Arial" w:cs="Arial" w:eastAsia="Arial" w:hAnsi="Arial"/>
                <w:sz w:val="14"/>
                <w:szCs w:val="14"/>
                <w:b w:val="1"/>
                <w:bCs w:val="1"/>
                <w:color w:val="auto"/>
              </w:rPr>
              <w:t>EBITDA</w:t>
            </w:r>
          </w:p>
        </w:tc>
        <w:tc>
          <w:tcPr>
            <w:tcW w:w="240" w:type="dxa"/>
            <w:vAlign w:val="bottom"/>
            <w:shd w:val="clear" w:color="auto" w:fill="F1F2F2"/>
          </w:tcPr>
          <w:p>
            <w:pPr>
              <w:jc w:val="right"/>
              <w:ind w:right="68"/>
              <w:spacing w:after="0"/>
              <w:rPr>
                <w:sz w:val="20"/>
                <w:szCs w:val="20"/>
                <w:color w:val="auto"/>
              </w:rPr>
            </w:pPr>
            <w:r>
              <w:rPr>
                <w:rFonts w:ascii="Arial" w:cs="Arial" w:eastAsia="Arial" w:hAnsi="Arial"/>
                <w:sz w:val="14"/>
                <w:szCs w:val="14"/>
                <w:b w:val="1"/>
                <w:bCs w:val="1"/>
                <w:color w:val="auto"/>
              </w:rPr>
              <w:t>$</w:t>
            </w:r>
          </w:p>
        </w:tc>
        <w:tc>
          <w:tcPr>
            <w:tcW w:w="2780" w:type="dxa"/>
            <w:vAlign w:val="bottom"/>
            <w:shd w:val="clear" w:color="auto" w:fill="F1F2F2"/>
          </w:tcPr>
          <w:p>
            <w:pPr>
              <w:jc w:val="right"/>
              <w:ind w:right="228"/>
              <w:spacing w:after="0"/>
              <w:rPr>
                <w:sz w:val="20"/>
                <w:szCs w:val="20"/>
                <w:color w:val="auto"/>
              </w:rPr>
            </w:pPr>
            <w:r>
              <w:rPr>
                <w:rFonts w:ascii="Arial" w:cs="Arial" w:eastAsia="Arial" w:hAnsi="Arial"/>
                <w:sz w:val="14"/>
                <w:szCs w:val="14"/>
                <w:b w:val="1"/>
                <w:bCs w:val="1"/>
                <w:color w:val="auto"/>
              </w:rPr>
              <w:t>(373,092)</w:t>
            </w:r>
          </w:p>
        </w:tc>
        <w:tc>
          <w:tcPr>
            <w:tcW w:w="0" w:type="dxa"/>
            <w:vAlign w:val="bottom"/>
          </w:tcPr>
          <w:p>
            <w:pPr>
              <w:spacing w:after="0"/>
              <w:rPr>
                <w:sz w:val="1"/>
                <w:szCs w:val="1"/>
                <w:color w:val="auto"/>
              </w:rPr>
            </w:pPr>
          </w:p>
        </w:tc>
      </w:tr>
      <w:tr>
        <w:trPr>
          <w:trHeight w:val="230"/>
        </w:trPr>
        <w:tc>
          <w:tcPr>
            <w:tcW w:w="8220" w:type="dxa"/>
            <w:vAlign w:val="bottom"/>
          </w:tcPr>
          <w:p>
            <w:pPr>
              <w:ind w:left="100"/>
              <w:spacing w:after="0"/>
              <w:rPr>
                <w:sz w:val="20"/>
                <w:szCs w:val="20"/>
                <w:color w:val="auto"/>
              </w:rPr>
            </w:pPr>
            <w:r>
              <w:rPr>
                <w:rFonts w:ascii="Arial" w:cs="Arial" w:eastAsia="Arial" w:hAnsi="Arial"/>
                <w:sz w:val="14"/>
                <w:szCs w:val="14"/>
                <w:color w:val="auto"/>
              </w:rPr>
              <w:t>Impairment losses on goodwill and other intangible assets</w:t>
            </w:r>
            <w:r>
              <w:rPr>
                <w:rFonts w:ascii="Arial" w:cs="Arial" w:eastAsia="Arial" w:hAnsi="Arial"/>
                <w:sz w:val="18"/>
                <w:szCs w:val="18"/>
                <w:color w:val="auto"/>
                <w:vertAlign w:val="superscript"/>
              </w:rPr>
              <w:t>(1)</w:t>
            </w:r>
          </w:p>
        </w:tc>
        <w:tc>
          <w:tcPr>
            <w:tcW w:w="240" w:type="dxa"/>
            <w:vAlign w:val="bottom"/>
          </w:tcPr>
          <w:p>
            <w:pPr>
              <w:spacing w:after="0"/>
              <w:rPr>
                <w:sz w:val="19"/>
                <w:szCs w:val="19"/>
                <w:color w:val="auto"/>
              </w:rPr>
            </w:pPr>
          </w:p>
        </w:tc>
        <w:tc>
          <w:tcPr>
            <w:tcW w:w="2780" w:type="dxa"/>
            <w:vAlign w:val="bottom"/>
          </w:tcPr>
          <w:p>
            <w:pPr>
              <w:jc w:val="right"/>
              <w:ind w:right="268"/>
              <w:spacing w:after="0"/>
              <w:rPr>
                <w:sz w:val="20"/>
                <w:szCs w:val="20"/>
                <w:color w:val="auto"/>
              </w:rPr>
            </w:pPr>
            <w:r>
              <w:rPr>
                <w:rFonts w:ascii="Arial" w:cs="Arial" w:eastAsia="Arial" w:hAnsi="Arial"/>
                <w:sz w:val="14"/>
                <w:szCs w:val="14"/>
                <w:color w:val="auto"/>
              </w:rPr>
              <w:t>336,486</w:t>
            </w:r>
          </w:p>
        </w:tc>
        <w:tc>
          <w:tcPr>
            <w:tcW w:w="0" w:type="dxa"/>
            <w:vAlign w:val="bottom"/>
          </w:tcPr>
          <w:p>
            <w:pPr>
              <w:spacing w:after="0"/>
              <w:rPr>
                <w:sz w:val="1"/>
                <w:szCs w:val="1"/>
                <w:color w:val="auto"/>
              </w:rPr>
            </w:pPr>
          </w:p>
        </w:tc>
      </w:tr>
      <w:tr>
        <w:trPr>
          <w:trHeight w:val="230"/>
        </w:trPr>
        <w:tc>
          <w:tcPr>
            <w:tcW w:w="8220" w:type="dxa"/>
            <w:vAlign w:val="bottom"/>
            <w:shd w:val="clear" w:color="auto" w:fill="F1F2F2"/>
          </w:tcPr>
          <w:p>
            <w:pPr>
              <w:ind w:left="100"/>
              <w:spacing w:after="0"/>
              <w:rPr>
                <w:sz w:val="20"/>
                <w:szCs w:val="20"/>
                <w:color w:val="auto"/>
              </w:rPr>
            </w:pPr>
            <w:r>
              <w:rPr>
                <w:rFonts w:ascii="Arial" w:cs="Arial" w:eastAsia="Arial" w:hAnsi="Arial"/>
                <w:sz w:val="14"/>
                <w:szCs w:val="14"/>
                <w:color w:val="auto"/>
              </w:rPr>
              <w:t>Stock-based compensation expense</w:t>
            </w:r>
            <w:r>
              <w:rPr>
                <w:rFonts w:ascii="Arial" w:cs="Arial" w:eastAsia="Arial" w:hAnsi="Arial"/>
                <w:sz w:val="18"/>
                <w:szCs w:val="18"/>
                <w:color w:val="auto"/>
                <w:vertAlign w:val="superscript"/>
              </w:rPr>
              <w:t>(2)</w:t>
            </w:r>
          </w:p>
        </w:tc>
        <w:tc>
          <w:tcPr>
            <w:tcW w:w="240" w:type="dxa"/>
            <w:vAlign w:val="bottom"/>
            <w:shd w:val="clear" w:color="auto" w:fill="F1F2F2"/>
          </w:tcPr>
          <w:p>
            <w:pPr>
              <w:spacing w:after="0"/>
              <w:rPr>
                <w:sz w:val="19"/>
                <w:szCs w:val="19"/>
                <w:color w:val="auto"/>
              </w:rPr>
            </w:pPr>
          </w:p>
        </w:tc>
        <w:tc>
          <w:tcPr>
            <w:tcW w:w="2780" w:type="dxa"/>
            <w:vAlign w:val="bottom"/>
            <w:shd w:val="clear" w:color="auto" w:fill="F1F2F2"/>
          </w:tcPr>
          <w:p>
            <w:pPr>
              <w:jc w:val="right"/>
              <w:ind w:right="268"/>
              <w:spacing w:after="0"/>
              <w:rPr>
                <w:sz w:val="20"/>
                <w:szCs w:val="20"/>
                <w:color w:val="auto"/>
              </w:rPr>
            </w:pPr>
            <w:r>
              <w:rPr>
                <w:rFonts w:ascii="Arial" w:cs="Arial" w:eastAsia="Arial" w:hAnsi="Arial"/>
                <w:sz w:val="14"/>
                <w:szCs w:val="14"/>
                <w:color w:val="auto"/>
              </w:rPr>
              <w:t>41,907</w:t>
            </w:r>
          </w:p>
        </w:tc>
        <w:tc>
          <w:tcPr>
            <w:tcW w:w="0" w:type="dxa"/>
            <w:vAlign w:val="bottom"/>
          </w:tcPr>
          <w:p>
            <w:pPr>
              <w:spacing w:after="0"/>
              <w:rPr>
                <w:sz w:val="1"/>
                <w:szCs w:val="1"/>
                <w:color w:val="auto"/>
              </w:rPr>
            </w:pPr>
          </w:p>
        </w:tc>
      </w:tr>
      <w:tr>
        <w:trPr>
          <w:trHeight w:val="230"/>
        </w:trPr>
        <w:tc>
          <w:tcPr>
            <w:tcW w:w="8220" w:type="dxa"/>
            <w:vAlign w:val="bottom"/>
          </w:tcPr>
          <w:p>
            <w:pPr>
              <w:ind w:left="100"/>
              <w:spacing w:after="0"/>
              <w:rPr>
                <w:sz w:val="20"/>
                <w:szCs w:val="20"/>
                <w:color w:val="auto"/>
              </w:rPr>
            </w:pPr>
            <w:r>
              <w:rPr>
                <w:rFonts w:ascii="Arial" w:cs="Arial" w:eastAsia="Arial" w:hAnsi="Arial"/>
                <w:sz w:val="14"/>
                <w:szCs w:val="14"/>
                <w:color w:val="auto"/>
              </w:rPr>
              <w:t>Loss on fair value instruments, net</w:t>
            </w:r>
            <w:r>
              <w:rPr>
                <w:rFonts w:ascii="Arial" w:cs="Arial" w:eastAsia="Arial" w:hAnsi="Arial"/>
                <w:sz w:val="18"/>
                <w:szCs w:val="18"/>
                <w:color w:val="auto"/>
                <w:vertAlign w:val="superscript"/>
              </w:rPr>
              <w:t>(3)</w:t>
            </w:r>
          </w:p>
        </w:tc>
        <w:tc>
          <w:tcPr>
            <w:tcW w:w="240" w:type="dxa"/>
            <w:vAlign w:val="bottom"/>
          </w:tcPr>
          <w:p>
            <w:pPr>
              <w:spacing w:after="0"/>
              <w:rPr>
                <w:sz w:val="19"/>
                <w:szCs w:val="19"/>
                <w:color w:val="auto"/>
              </w:rPr>
            </w:pPr>
          </w:p>
        </w:tc>
        <w:tc>
          <w:tcPr>
            <w:tcW w:w="2780" w:type="dxa"/>
            <w:vAlign w:val="bottom"/>
          </w:tcPr>
          <w:p>
            <w:pPr>
              <w:jc w:val="right"/>
              <w:ind w:right="268"/>
              <w:spacing w:after="0"/>
              <w:rPr>
                <w:sz w:val="20"/>
                <w:szCs w:val="20"/>
                <w:color w:val="auto"/>
              </w:rPr>
            </w:pPr>
            <w:r>
              <w:rPr>
                <w:rFonts w:ascii="Arial" w:cs="Arial" w:eastAsia="Arial" w:hAnsi="Arial"/>
                <w:sz w:val="14"/>
                <w:szCs w:val="14"/>
                <w:color w:val="auto"/>
              </w:rPr>
              <w:t>8,604</w:t>
            </w:r>
          </w:p>
        </w:tc>
        <w:tc>
          <w:tcPr>
            <w:tcW w:w="0" w:type="dxa"/>
            <w:vAlign w:val="bottom"/>
          </w:tcPr>
          <w:p>
            <w:pPr>
              <w:spacing w:after="0"/>
              <w:rPr>
                <w:sz w:val="1"/>
                <w:szCs w:val="1"/>
                <w:color w:val="auto"/>
              </w:rPr>
            </w:pPr>
          </w:p>
        </w:tc>
      </w:tr>
      <w:tr>
        <w:trPr>
          <w:trHeight w:val="229"/>
        </w:trPr>
        <w:tc>
          <w:tcPr>
            <w:tcW w:w="8220" w:type="dxa"/>
            <w:vAlign w:val="bottom"/>
            <w:shd w:val="clear" w:color="auto" w:fill="F1F2F2"/>
          </w:tcPr>
          <w:p>
            <w:pPr>
              <w:ind w:left="100"/>
              <w:spacing w:after="0"/>
              <w:rPr>
                <w:sz w:val="20"/>
                <w:szCs w:val="20"/>
                <w:color w:val="auto"/>
              </w:rPr>
            </w:pPr>
            <w:r>
              <w:rPr>
                <w:rFonts w:ascii="Arial" w:cs="Arial" w:eastAsia="Arial" w:hAnsi="Arial"/>
                <w:sz w:val="14"/>
                <w:szCs w:val="14"/>
                <w:color w:val="auto"/>
              </w:rPr>
              <w:t>Restructuring and IPO-related costs</w:t>
            </w:r>
            <w:r>
              <w:rPr>
                <w:rFonts w:ascii="Arial" w:cs="Arial" w:eastAsia="Arial" w:hAnsi="Arial"/>
                <w:sz w:val="18"/>
                <w:szCs w:val="18"/>
                <w:color w:val="auto"/>
                <w:vertAlign w:val="superscript"/>
              </w:rPr>
              <w:t>(4)</w:t>
            </w:r>
          </w:p>
        </w:tc>
        <w:tc>
          <w:tcPr>
            <w:tcW w:w="240" w:type="dxa"/>
            <w:vAlign w:val="bottom"/>
            <w:shd w:val="clear" w:color="auto" w:fill="F1F2F2"/>
          </w:tcPr>
          <w:p>
            <w:pPr>
              <w:spacing w:after="0"/>
              <w:rPr>
                <w:sz w:val="19"/>
                <w:szCs w:val="19"/>
                <w:color w:val="auto"/>
              </w:rPr>
            </w:pPr>
          </w:p>
        </w:tc>
        <w:tc>
          <w:tcPr>
            <w:tcW w:w="2780" w:type="dxa"/>
            <w:vAlign w:val="bottom"/>
            <w:shd w:val="clear" w:color="auto" w:fill="F1F2F2"/>
          </w:tcPr>
          <w:p>
            <w:pPr>
              <w:jc w:val="right"/>
              <w:ind w:right="268"/>
              <w:spacing w:after="0"/>
              <w:rPr>
                <w:sz w:val="20"/>
                <w:szCs w:val="20"/>
                <w:color w:val="auto"/>
              </w:rPr>
            </w:pPr>
            <w:r>
              <w:rPr>
                <w:rFonts w:ascii="Arial" w:cs="Arial" w:eastAsia="Arial" w:hAnsi="Arial"/>
                <w:sz w:val="14"/>
                <w:szCs w:val="14"/>
                <w:color w:val="auto"/>
              </w:rPr>
              <w:t>6,816</w:t>
            </w:r>
          </w:p>
        </w:tc>
        <w:tc>
          <w:tcPr>
            <w:tcW w:w="0" w:type="dxa"/>
            <w:vAlign w:val="bottom"/>
          </w:tcPr>
          <w:p>
            <w:pPr>
              <w:spacing w:after="0"/>
              <w:rPr>
                <w:sz w:val="1"/>
                <w:szCs w:val="1"/>
                <w:color w:val="auto"/>
              </w:rPr>
            </w:pPr>
          </w:p>
        </w:tc>
      </w:tr>
      <w:tr>
        <w:trPr>
          <w:trHeight w:val="230"/>
        </w:trPr>
        <w:tc>
          <w:tcPr>
            <w:tcW w:w="8220" w:type="dxa"/>
            <w:vAlign w:val="bottom"/>
            <w:tcBorders>
              <w:bottom w:val="single" w:sz="8" w:color="F1F2F2"/>
            </w:tcBorders>
          </w:tcPr>
          <w:p>
            <w:pPr>
              <w:ind w:left="100"/>
              <w:spacing w:after="0"/>
              <w:rPr>
                <w:sz w:val="20"/>
                <w:szCs w:val="20"/>
                <w:color w:val="auto"/>
              </w:rPr>
            </w:pPr>
            <w:r>
              <w:rPr>
                <w:rFonts w:ascii="Arial" w:cs="Arial" w:eastAsia="Arial" w:hAnsi="Arial"/>
                <w:sz w:val="14"/>
                <w:szCs w:val="14"/>
                <w:color w:val="auto"/>
              </w:rPr>
              <w:t>Gain on equity method investments, net</w:t>
            </w:r>
            <w:r>
              <w:rPr>
                <w:rFonts w:ascii="Arial" w:cs="Arial" w:eastAsia="Arial" w:hAnsi="Arial"/>
                <w:sz w:val="18"/>
                <w:szCs w:val="18"/>
                <w:color w:val="auto"/>
                <w:vertAlign w:val="superscript"/>
              </w:rPr>
              <w:t>(5)</w:t>
            </w:r>
          </w:p>
        </w:tc>
        <w:tc>
          <w:tcPr>
            <w:tcW w:w="24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(1,282)</w:t>
            </w:r>
          </w:p>
        </w:tc>
        <w:tc>
          <w:tcPr>
            <w:tcW w:w="0" w:type="dxa"/>
            <w:vAlign w:val="bottom"/>
          </w:tcPr>
          <w:p>
            <w:pPr>
              <w:spacing w:after="0"/>
              <w:rPr>
                <w:sz w:val="1"/>
                <w:szCs w:val="1"/>
                <w:color w:val="auto"/>
              </w:rPr>
            </w:pPr>
          </w:p>
        </w:tc>
      </w:tr>
      <w:tr>
        <w:trPr>
          <w:trHeight w:val="242"/>
        </w:trPr>
        <w:tc>
          <w:tcPr>
            <w:tcW w:w="8220" w:type="dxa"/>
            <w:vAlign w:val="bottom"/>
            <w:tcBorders>
              <w:bottom w:val="single" w:sz="8" w:color="F1F2F2"/>
            </w:tcBorders>
            <w:shd w:val="clear" w:color="auto" w:fill="F1F2F2"/>
          </w:tcPr>
          <w:p>
            <w:pPr>
              <w:ind w:left="100"/>
              <w:spacing w:after="0"/>
              <w:rPr>
                <w:sz w:val="20"/>
                <w:szCs w:val="20"/>
                <w:color w:val="auto"/>
              </w:rPr>
            </w:pPr>
            <w:r>
              <w:rPr>
                <w:rFonts w:ascii="Arial" w:cs="Arial" w:eastAsia="Arial" w:hAnsi="Arial"/>
                <w:sz w:val="14"/>
                <w:szCs w:val="14"/>
                <w:b w:val="1"/>
                <w:bCs w:val="1"/>
                <w:color w:val="auto"/>
              </w:rPr>
              <w:t>Adjusted EBITDA</w:t>
            </w:r>
          </w:p>
        </w:tc>
        <w:tc>
          <w:tcPr>
            <w:tcW w:w="240" w:type="dxa"/>
            <w:vAlign w:val="bottom"/>
            <w:tcBorders>
              <w:bottom w:val="single" w:sz="8" w:color="auto"/>
            </w:tcBorders>
            <w:shd w:val="clear" w:color="auto" w:fill="F1F2F2"/>
          </w:tcPr>
          <w:p>
            <w:pPr>
              <w:jc w:val="right"/>
              <w:ind w:right="68"/>
              <w:spacing w:after="0"/>
              <w:rPr>
                <w:sz w:val="20"/>
                <w:szCs w:val="20"/>
                <w:color w:val="auto"/>
              </w:rPr>
            </w:pPr>
            <w:r>
              <w:rPr>
                <w:rFonts w:ascii="Arial" w:cs="Arial" w:eastAsia="Arial" w:hAnsi="Arial"/>
                <w:sz w:val="14"/>
                <w:szCs w:val="14"/>
                <w:b w:val="1"/>
                <w:bCs w:val="1"/>
                <w:color w:val="auto"/>
              </w:rPr>
              <w:t>$</w:t>
            </w:r>
          </w:p>
        </w:tc>
        <w:tc>
          <w:tcPr>
            <w:tcW w:w="2780" w:type="dxa"/>
            <w:vAlign w:val="bottom"/>
            <w:tcBorders>
              <w:bottom w:val="single" w:sz="8" w:color="auto"/>
            </w:tcBorders>
            <w:shd w:val="clear" w:color="auto" w:fill="F1F2F2"/>
          </w:tcPr>
          <w:p>
            <w:pPr>
              <w:jc w:val="right"/>
              <w:ind w:right="268"/>
              <w:spacing w:after="0"/>
              <w:rPr>
                <w:sz w:val="20"/>
                <w:szCs w:val="20"/>
                <w:color w:val="auto"/>
              </w:rPr>
            </w:pPr>
            <w:r>
              <w:rPr>
                <w:rFonts w:ascii="Arial" w:cs="Arial" w:eastAsia="Arial" w:hAnsi="Arial"/>
                <w:sz w:val="14"/>
                <w:szCs w:val="14"/>
                <w:b w:val="1"/>
                <w:bCs w:val="1"/>
                <w:color w:val="auto"/>
              </w:rPr>
              <w:t>19,439</w:t>
            </w:r>
          </w:p>
        </w:tc>
        <w:tc>
          <w:tcPr>
            <w:tcW w:w="0" w:type="dxa"/>
            <w:vAlign w:val="bottom"/>
          </w:tcPr>
          <w:p>
            <w:pPr>
              <w:spacing w:after="0"/>
              <w:rPr>
                <w:sz w:val="1"/>
                <w:szCs w:val="1"/>
                <w:color w:val="auto"/>
              </w:rPr>
            </w:pPr>
          </w:p>
        </w:tc>
      </w:tr>
      <w:tr>
        <w:trPr>
          <w:trHeight w:val="20"/>
        </w:trPr>
        <w:tc>
          <w:tcPr>
            <w:tcW w:w="8220" w:type="dxa"/>
            <w:vAlign w:val="bottom"/>
            <w:tcBorders>
              <w:top w:val="single" w:sz="8" w:color="F1F2F2"/>
              <w:bottom w:val="single" w:sz="8" w:color="F1F2F2"/>
            </w:tcBorders>
            <w:vMerge w:val="restart"/>
          </w:tcPr>
          <w:p>
            <w:pPr>
              <w:ind w:left="100"/>
              <w:spacing w:after="0"/>
              <w:rPr>
                <w:sz w:val="20"/>
                <w:szCs w:val="20"/>
                <w:color w:val="auto"/>
              </w:rPr>
            </w:pPr>
            <w:r>
              <w:rPr>
                <w:rFonts w:ascii="Arial" w:cs="Arial" w:eastAsia="Arial" w:hAnsi="Arial"/>
                <w:sz w:val="14"/>
                <w:szCs w:val="14"/>
                <w:color w:val="auto"/>
              </w:rPr>
              <w:t>Net loss margin</w:t>
            </w:r>
          </w:p>
        </w:tc>
        <w:tc>
          <w:tcPr>
            <w:tcW w:w="240" w:type="dxa"/>
            <w:vAlign w:val="bottom"/>
            <w:tcBorders>
              <w:top w:val="single" w:sz="8" w:color="F1F2F2"/>
              <w:bottom w:val="single" w:sz="8" w:color="auto"/>
            </w:tcBorders>
          </w:tcPr>
          <w:p>
            <w:pPr>
              <w:spacing w:after="0" w:line="20" w:lineRule="exact"/>
              <w:rPr>
                <w:sz w:val="1"/>
                <w:szCs w:val="1"/>
                <w:color w:val="auto"/>
              </w:rPr>
            </w:pPr>
          </w:p>
        </w:tc>
        <w:tc>
          <w:tcPr>
            <w:tcW w:w="2780" w:type="dxa"/>
            <w:vAlign w:val="bottom"/>
            <w:tcBorders>
              <w:top w:val="single" w:sz="8" w:color="F1F2F2"/>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2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2780" w:type="dxa"/>
            <w:vAlign w:val="bottom"/>
          </w:tcPr>
          <w:p>
            <w:pPr>
              <w:jc w:val="right"/>
              <w:ind w:right="88"/>
              <w:spacing w:after="0"/>
              <w:rPr>
                <w:sz w:val="20"/>
                <w:szCs w:val="20"/>
                <w:color w:val="auto"/>
              </w:rPr>
            </w:pPr>
            <w:r>
              <w:rPr>
                <w:rFonts w:ascii="Arial" w:cs="Arial" w:eastAsia="Arial" w:hAnsi="Arial"/>
                <w:sz w:val="14"/>
                <w:szCs w:val="14"/>
                <w:color w:val="auto"/>
              </w:rPr>
              <w:t>(17.0)%</w:t>
            </w:r>
          </w:p>
        </w:tc>
        <w:tc>
          <w:tcPr>
            <w:tcW w:w="0" w:type="dxa"/>
            <w:vAlign w:val="bottom"/>
          </w:tcPr>
          <w:p>
            <w:pPr>
              <w:spacing w:after="0"/>
              <w:rPr>
                <w:sz w:val="1"/>
                <w:szCs w:val="1"/>
                <w:color w:val="auto"/>
              </w:rPr>
            </w:pPr>
          </w:p>
        </w:tc>
      </w:tr>
      <w:tr>
        <w:trPr>
          <w:trHeight w:val="22"/>
        </w:trPr>
        <w:tc>
          <w:tcPr>
            <w:tcW w:w="8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220" w:type="dxa"/>
            <w:vAlign w:val="bottom"/>
            <w:tcBorders>
              <w:bottom w:val="single" w:sz="8" w:color="F1F2F2"/>
            </w:tcBorders>
            <w:shd w:val="clear" w:color="auto" w:fill="F1F2F2"/>
          </w:tcPr>
          <w:p>
            <w:pPr>
              <w:ind w:left="100"/>
              <w:spacing w:after="0"/>
              <w:rPr>
                <w:sz w:val="20"/>
                <w:szCs w:val="20"/>
                <w:color w:val="auto"/>
              </w:rPr>
            </w:pPr>
            <w:r>
              <w:rPr>
                <w:rFonts w:ascii="Arial" w:cs="Arial" w:eastAsia="Arial" w:hAnsi="Arial"/>
                <w:sz w:val="14"/>
                <w:szCs w:val="14"/>
                <w:color w:val="auto"/>
              </w:rPr>
              <w:t>Adjusted EBITDA Margin</w:t>
            </w:r>
          </w:p>
        </w:tc>
        <w:tc>
          <w:tcPr>
            <w:tcW w:w="240" w:type="dxa"/>
            <w:vAlign w:val="bottom"/>
            <w:tcBorders>
              <w:bottom w:val="single" w:sz="8" w:color="F1F2F2"/>
            </w:tcBorders>
            <w:shd w:val="clear" w:color="auto" w:fill="F1F2F2"/>
          </w:tcPr>
          <w:p>
            <w:pPr>
              <w:spacing w:after="0"/>
              <w:rPr>
                <w:sz w:val="18"/>
                <w:szCs w:val="18"/>
                <w:color w:val="auto"/>
              </w:rPr>
            </w:pPr>
          </w:p>
        </w:tc>
        <w:tc>
          <w:tcPr>
            <w:tcW w:w="2780" w:type="dxa"/>
            <w:vAlign w:val="bottom"/>
            <w:tcBorders>
              <w:bottom w:val="single" w:sz="8" w:color="F1F2F2"/>
            </w:tcBorders>
            <w:shd w:val="clear" w:color="auto" w:fill="F1F2F2"/>
          </w:tcPr>
          <w:p>
            <w:pPr>
              <w:jc w:val="right"/>
              <w:ind w:right="168"/>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0"/>
        </w:trPr>
        <w:tc>
          <w:tcPr>
            <w:tcW w:w="82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7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ind w:left="340" w:right="280" w:hanging="332"/>
        <w:spacing w:after="0" w:line="285" w:lineRule="auto"/>
        <w:tabs>
          <w:tab w:leader="none" w:pos="338" w:val="left"/>
        </w:tabs>
        <w:numPr>
          <w:ilvl w:val="0"/>
          <w:numId w:val="43"/>
        </w:numPr>
        <w:rPr>
          <w:rFonts w:ascii="Arial" w:cs="Arial" w:eastAsia="Arial" w:hAnsi="Arial"/>
          <w:sz w:val="14"/>
          <w:szCs w:val="14"/>
          <w:color w:val="auto"/>
        </w:rPr>
      </w:pPr>
      <w:r>
        <w:rPr>
          <w:rFonts w:ascii="Arial" w:cs="Arial" w:eastAsia="Arial" w:hAnsi="Arial"/>
          <w:sz w:val="14"/>
          <w:szCs w:val="14"/>
          <w:color w:val="auto"/>
        </w:rPr>
        <w:t>Represents impairment losses on goodwill for Wattpad Corp., Wattpad WEBTOON Studios Corp, Munpia Inc., Purple Duck and Jakga Company Inc. The amounts also include a $1.0 million impairment of the definite lived intangible assets for Bootcamp Limited Partnership for the year ended December 31, 2025.</w:t>
      </w:r>
    </w:p>
    <w:p>
      <w:pPr>
        <w:spacing w:after="0" w:line="35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 xml:space="preserve">A-2                                                              </w:t>
      </w:r>
      <w:r>
        <w:rPr>
          <w:sz w:val="1"/>
          <w:szCs w:val="1"/>
          <w:color w:val="auto"/>
        </w:rPr>
        <w:drawing>
          <wp:inline distT="0" distB="0" distL="0" distR="0">
            <wp:extent cx="282575" cy="274320"/>
            <wp:effectExtent l="0" t="0" r="0" b="0"/>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82575" cy="274320"/>
                    </a:xfrm>
                    <a:prstGeom prst="rect">
                      <a:avLst/>
                    </a:prstGeom>
                    <a:noFill/>
                    <a:ln>
                      <a:noFill/>
                    </a:ln>
                  </pic:spPr>
                </pic:pic>
              </a:graphicData>
            </a:graphic>
          </wp:inline>
        </w:drawing>
      </w:r>
      <w:r>
        <w:rPr>
          <w:rFonts w:ascii="Arial" w:cs="Arial" w:eastAsia="Arial" w:hAnsi="Arial"/>
          <w:sz w:val="14"/>
          <w:szCs w:val="14"/>
          <w:b w:val="1"/>
          <w:bCs w:val="1"/>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340" w:right="460" w:hanging="332"/>
        <w:spacing w:after="0" w:line="281" w:lineRule="auto"/>
        <w:tabs>
          <w:tab w:leader="none" w:pos="338" w:val="left"/>
        </w:tabs>
        <w:numPr>
          <w:ilvl w:val="0"/>
          <w:numId w:val="44"/>
        </w:numPr>
        <w:rPr>
          <w:rFonts w:ascii="Arial" w:cs="Arial" w:eastAsia="Arial" w:hAnsi="Arial"/>
          <w:sz w:val="14"/>
          <w:szCs w:val="14"/>
          <w:color w:val="auto"/>
        </w:rPr>
      </w:pPr>
      <w:r>
        <w:rPr>
          <w:rFonts w:ascii="Arial" w:cs="Arial" w:eastAsia="Arial" w:hAnsi="Arial"/>
          <w:sz w:val="14"/>
          <w:szCs w:val="14"/>
          <w:color w:val="auto"/>
        </w:rPr>
        <w:t>Represents non-cash stock-based compensation expense related to the Company’s equity incentive plan and stock-based compensation plans of NAVER Corp. and Munpia Inc., including amounts which are cash settled. See Note 11. Stock-Based Compensation in the accompanying notes to our audited Consolidated Financial Statements in our Annual Report on Form 10-K for the year ended December 31, 2025 for further details on the amounts included within.</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Represents unrealized net loss of financial assets measured at fair value through profit or loss, which include the Company’s equity investments.</w:t>
      </w:r>
    </w:p>
    <w:p>
      <w:pPr>
        <w:spacing w:after="0" w:line="68" w:lineRule="exact"/>
        <w:rPr>
          <w:rFonts w:ascii="Arial" w:cs="Arial" w:eastAsia="Arial" w:hAnsi="Arial"/>
          <w:sz w:val="14"/>
          <w:szCs w:val="14"/>
          <w:color w:val="auto"/>
        </w:rPr>
      </w:pPr>
    </w:p>
    <w:p>
      <w:pPr>
        <w:ind w:left="340" w:right="20" w:hanging="332"/>
        <w:spacing w:after="0" w:line="301" w:lineRule="auto"/>
        <w:tabs>
          <w:tab w:leader="none" w:pos="338" w:val="left"/>
        </w:tabs>
        <w:numPr>
          <w:ilvl w:val="0"/>
          <w:numId w:val="44"/>
        </w:numPr>
        <w:rPr>
          <w:rFonts w:ascii="Arial" w:cs="Arial" w:eastAsia="Arial" w:hAnsi="Arial"/>
          <w:sz w:val="14"/>
          <w:szCs w:val="14"/>
          <w:color w:val="auto"/>
        </w:rPr>
      </w:pPr>
      <w:r>
        <w:rPr>
          <w:rFonts w:ascii="Arial" w:cs="Arial" w:eastAsia="Arial" w:hAnsi="Arial"/>
          <w:sz w:val="14"/>
          <w:szCs w:val="14"/>
          <w:color w:val="auto"/>
        </w:rPr>
        <w:t>Represents expenses that we do not consider representative of the operating performance of the business. For the year ended December 31, 2025, these amounts include legal fees and advisory fees.</w:t>
      </w:r>
    </w:p>
    <w:p>
      <w:pPr>
        <w:spacing w:after="0" w:line="1" w:lineRule="exact"/>
        <w:rPr>
          <w:rFonts w:ascii="Arial" w:cs="Arial" w:eastAsia="Arial" w:hAnsi="Arial"/>
          <w:sz w:val="14"/>
          <w:szCs w:val="14"/>
          <w:color w:val="auto"/>
        </w:rPr>
      </w:pPr>
    </w:p>
    <w:p>
      <w:pPr>
        <w:ind w:left="340" w:right="40" w:hanging="332"/>
        <w:spacing w:after="0" w:line="305" w:lineRule="auto"/>
        <w:tabs>
          <w:tab w:leader="none" w:pos="338" w:val="left"/>
        </w:tabs>
        <w:numPr>
          <w:ilvl w:val="0"/>
          <w:numId w:val="44"/>
        </w:numPr>
        <w:rPr>
          <w:rFonts w:ascii="Arial" w:cs="Arial" w:eastAsia="Arial" w:hAnsi="Arial"/>
          <w:sz w:val="14"/>
          <w:szCs w:val="14"/>
          <w:color w:val="auto"/>
        </w:rPr>
      </w:pPr>
      <w:r>
        <w:rPr>
          <w:rFonts w:ascii="Arial" w:cs="Arial" w:eastAsia="Arial" w:hAnsi="Arial"/>
          <w:sz w:val="14"/>
          <w:szCs w:val="14"/>
          <w:color w:val="auto"/>
        </w:rPr>
        <w:t>Represents our proportionate share of recognized losses associated with our investments accounted for using the equity method. See Note 18. Equity Method Investments in the accompanying notes to our audited Consolidated Financial Statements included in our Annual Report on Form 10-K for the year ended December 31, 2025.</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a reconciliation of revenue to revenue on a constant currency basis for each of the periods presented.</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36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3300" w:type="dxa"/>
            <w:vAlign w:val="bottom"/>
            <w:tcBorders>
              <w:bottom w:val="single" w:sz="8" w:color="auto"/>
            </w:tcBorders>
            <w:gridSpan w:val="3"/>
          </w:tcPr>
          <w:p>
            <w:pPr>
              <w:jc w:val="right"/>
              <w:ind w:right="908"/>
              <w:spacing w:after="0"/>
              <w:rPr>
                <w:sz w:val="20"/>
                <w:szCs w:val="20"/>
                <w:color w:val="auto"/>
              </w:rPr>
            </w:pPr>
            <w:r>
              <w:rPr>
                <w:rFonts w:ascii="Arial" w:cs="Arial" w:eastAsia="Arial" w:hAnsi="Arial"/>
                <w:sz w:val="14"/>
                <w:szCs w:val="14"/>
                <w:b w:val="1"/>
                <w:bCs w:val="1"/>
                <w:color w:val="auto"/>
              </w:rPr>
              <w:t>Year Ended December 31,</w:t>
            </w:r>
          </w:p>
        </w:tc>
        <w:tc>
          <w:tcPr>
            <w:tcW w:w="2140" w:type="dxa"/>
            <w:vAlign w:val="bottom"/>
          </w:tcPr>
          <w:p>
            <w:pPr>
              <w:spacing w:after="0"/>
              <w:rPr>
                <w:sz w:val="17"/>
                <w:szCs w:val="17"/>
                <w:color w:val="auto"/>
              </w:rPr>
            </w:pPr>
          </w:p>
        </w:tc>
      </w:tr>
      <w:tr>
        <w:trPr>
          <w:trHeight w:val="222"/>
        </w:trPr>
        <w:tc>
          <w:tcPr>
            <w:tcW w:w="5360" w:type="dxa"/>
            <w:vAlign w:val="bottom"/>
          </w:tcPr>
          <w:p>
            <w:pPr>
              <w:ind w:left="100"/>
              <w:spacing w:after="0"/>
              <w:rPr>
                <w:sz w:val="20"/>
                <w:szCs w:val="20"/>
                <w:color w:val="auto"/>
              </w:rPr>
            </w:pPr>
            <w:r>
              <w:rPr>
                <w:rFonts w:ascii="Arial" w:cs="Arial" w:eastAsia="Arial" w:hAnsi="Arial"/>
                <w:sz w:val="14"/>
                <w:szCs w:val="14"/>
                <w:i w:val="1"/>
                <w:iCs w:val="1"/>
                <w:color w:val="auto"/>
              </w:rPr>
              <w:t>(in thousands of USD, except percentage)</w:t>
            </w:r>
          </w:p>
        </w:tc>
        <w:tc>
          <w:tcPr>
            <w:tcW w:w="440" w:type="dxa"/>
            <w:vAlign w:val="bottom"/>
          </w:tcPr>
          <w:p>
            <w:pPr>
              <w:spacing w:after="0"/>
              <w:rPr>
                <w:sz w:val="19"/>
                <w:szCs w:val="19"/>
                <w:color w:val="auto"/>
              </w:rPr>
            </w:pPr>
          </w:p>
        </w:tc>
        <w:tc>
          <w:tcPr>
            <w:tcW w:w="1440" w:type="dxa"/>
            <w:vAlign w:val="bottom"/>
          </w:tcPr>
          <w:p>
            <w:pPr>
              <w:jc w:val="right"/>
              <w:ind w:right="708"/>
              <w:spacing w:after="0"/>
              <w:rPr>
                <w:sz w:val="20"/>
                <w:szCs w:val="20"/>
                <w:color w:val="auto"/>
              </w:rPr>
            </w:pPr>
            <w:r>
              <w:rPr>
                <w:rFonts w:ascii="Arial" w:cs="Arial" w:eastAsia="Arial" w:hAnsi="Arial"/>
                <w:sz w:val="14"/>
                <w:szCs w:val="14"/>
                <w:b w:val="1"/>
                <w:bCs w:val="1"/>
                <w:color w:val="auto"/>
              </w:rPr>
              <w:t>2025</w:t>
            </w:r>
          </w:p>
        </w:tc>
        <w:tc>
          <w:tcPr>
            <w:tcW w:w="420" w:type="dxa"/>
            <w:vAlign w:val="bottom"/>
          </w:tcPr>
          <w:p>
            <w:pPr>
              <w:spacing w:after="0"/>
              <w:rPr>
                <w:sz w:val="19"/>
                <w:szCs w:val="19"/>
                <w:color w:val="auto"/>
              </w:rPr>
            </w:pPr>
          </w:p>
        </w:tc>
        <w:tc>
          <w:tcPr>
            <w:tcW w:w="1440" w:type="dxa"/>
            <w:vAlign w:val="bottom"/>
          </w:tcPr>
          <w:p>
            <w:pPr>
              <w:jc w:val="right"/>
              <w:ind w:right="708"/>
              <w:spacing w:after="0"/>
              <w:rPr>
                <w:sz w:val="20"/>
                <w:szCs w:val="20"/>
                <w:color w:val="auto"/>
              </w:rPr>
            </w:pPr>
            <w:r>
              <w:rPr>
                <w:rFonts w:ascii="Arial" w:cs="Arial" w:eastAsia="Arial" w:hAnsi="Arial"/>
                <w:sz w:val="14"/>
                <w:szCs w:val="14"/>
                <w:b w:val="1"/>
                <w:bCs w:val="1"/>
                <w:color w:val="auto"/>
              </w:rPr>
              <w:t>2024</w:t>
            </w:r>
          </w:p>
        </w:tc>
        <w:tc>
          <w:tcPr>
            <w:tcW w:w="2140" w:type="dxa"/>
            <w:vAlign w:val="bottom"/>
          </w:tcPr>
          <w:p>
            <w:pPr>
              <w:jc w:val="right"/>
              <w:ind w:right="808"/>
              <w:spacing w:after="0"/>
              <w:rPr>
                <w:sz w:val="20"/>
                <w:szCs w:val="20"/>
                <w:color w:val="auto"/>
              </w:rPr>
            </w:pPr>
            <w:r>
              <w:rPr>
                <w:rFonts w:ascii="Arial" w:cs="Arial" w:eastAsia="Arial" w:hAnsi="Arial"/>
                <w:sz w:val="14"/>
                <w:szCs w:val="14"/>
                <w:b w:val="1"/>
                <w:bCs w:val="1"/>
                <w:color w:val="auto"/>
              </w:rPr>
              <w:t>Change</w:t>
            </w:r>
          </w:p>
        </w:tc>
      </w:tr>
      <w:tr>
        <w:trPr>
          <w:trHeight w:val="103"/>
        </w:trPr>
        <w:tc>
          <w:tcPr>
            <w:tcW w:w="5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2140" w:type="dxa"/>
            <w:vAlign w:val="bottom"/>
          </w:tcPr>
          <w:p>
            <w:pPr>
              <w:spacing w:after="0"/>
              <w:rPr>
                <w:sz w:val="8"/>
                <w:szCs w:val="8"/>
                <w:color w:val="auto"/>
              </w:rPr>
            </w:pPr>
          </w:p>
        </w:tc>
      </w:tr>
      <w:tr>
        <w:trPr>
          <w:trHeight w:val="230"/>
        </w:trPr>
        <w:tc>
          <w:tcPr>
            <w:tcW w:w="5360" w:type="dxa"/>
            <w:vAlign w:val="bottom"/>
            <w:shd w:val="clear" w:color="auto" w:fill="F1F2F2"/>
          </w:tcPr>
          <w:p>
            <w:pPr>
              <w:ind w:left="100"/>
              <w:spacing w:after="0"/>
              <w:rPr>
                <w:sz w:val="20"/>
                <w:szCs w:val="20"/>
                <w:color w:val="auto"/>
              </w:rPr>
            </w:pPr>
            <w:r>
              <w:rPr>
                <w:rFonts w:ascii="Arial" w:cs="Arial" w:eastAsia="Arial" w:hAnsi="Arial"/>
                <w:sz w:val="14"/>
                <w:szCs w:val="14"/>
                <w:b w:val="1"/>
                <w:bCs w:val="1"/>
                <w:color w:val="auto"/>
              </w:rPr>
              <w:t>Total Revenue</w:t>
            </w:r>
          </w:p>
        </w:tc>
        <w:tc>
          <w:tcPr>
            <w:tcW w:w="440" w:type="dxa"/>
            <w:vAlign w:val="bottom"/>
            <w:shd w:val="clear" w:color="auto" w:fill="F1F2F2"/>
          </w:tcPr>
          <w:p>
            <w:pPr>
              <w:jc w:val="right"/>
              <w:ind w:right="268"/>
              <w:spacing w:after="0"/>
              <w:rPr>
                <w:sz w:val="20"/>
                <w:szCs w:val="20"/>
                <w:color w:val="auto"/>
              </w:rPr>
            </w:pPr>
            <w:r>
              <w:rPr>
                <w:rFonts w:ascii="Arial" w:cs="Arial" w:eastAsia="Arial" w:hAnsi="Arial"/>
                <w:sz w:val="14"/>
                <w:szCs w:val="14"/>
                <w:color w:val="auto"/>
              </w:rPr>
              <w:t>$</w:t>
            </w:r>
          </w:p>
        </w:tc>
        <w:tc>
          <w:tcPr>
            <w:tcW w:w="1440" w:type="dxa"/>
            <w:vAlign w:val="bottom"/>
            <w:shd w:val="clear" w:color="auto" w:fill="F1F2F2"/>
          </w:tcPr>
          <w:p>
            <w:pPr>
              <w:jc w:val="right"/>
              <w:ind w:right="8"/>
              <w:spacing w:after="0"/>
              <w:rPr>
                <w:sz w:val="20"/>
                <w:szCs w:val="20"/>
                <w:color w:val="auto"/>
              </w:rPr>
            </w:pPr>
            <w:r>
              <w:rPr>
                <w:rFonts w:ascii="Arial" w:cs="Arial" w:eastAsia="Arial" w:hAnsi="Arial"/>
                <w:sz w:val="14"/>
                <w:szCs w:val="14"/>
                <w:color w:val="auto"/>
              </w:rPr>
              <w:t>1,382,705</w:t>
            </w:r>
          </w:p>
        </w:tc>
        <w:tc>
          <w:tcPr>
            <w:tcW w:w="420" w:type="dxa"/>
            <w:vAlign w:val="bottom"/>
            <w:shd w:val="clear" w:color="auto" w:fill="F1F2F2"/>
          </w:tcPr>
          <w:p>
            <w:pPr>
              <w:jc w:val="right"/>
              <w:ind w:right="268"/>
              <w:spacing w:after="0"/>
              <w:rPr>
                <w:sz w:val="20"/>
                <w:szCs w:val="20"/>
                <w:color w:val="auto"/>
              </w:rPr>
            </w:pPr>
            <w:r>
              <w:rPr>
                <w:rFonts w:ascii="Arial" w:cs="Arial" w:eastAsia="Arial" w:hAnsi="Arial"/>
                <w:sz w:val="14"/>
                <w:szCs w:val="14"/>
                <w:color w:val="auto"/>
                <w:w w:val="76"/>
              </w:rPr>
              <w:t>$</w:t>
            </w:r>
          </w:p>
        </w:tc>
        <w:tc>
          <w:tcPr>
            <w:tcW w:w="1440" w:type="dxa"/>
            <w:vAlign w:val="bottom"/>
            <w:shd w:val="clear" w:color="auto" w:fill="F1F2F2"/>
          </w:tcPr>
          <w:p>
            <w:pPr>
              <w:jc w:val="right"/>
              <w:spacing w:after="0"/>
              <w:rPr>
                <w:sz w:val="20"/>
                <w:szCs w:val="20"/>
                <w:color w:val="auto"/>
              </w:rPr>
            </w:pPr>
            <w:r>
              <w:rPr>
                <w:rFonts w:ascii="Arial" w:cs="Arial" w:eastAsia="Arial" w:hAnsi="Arial"/>
                <w:sz w:val="14"/>
                <w:szCs w:val="14"/>
                <w:color w:val="auto"/>
              </w:rPr>
              <w:t>1,348,478</w:t>
            </w:r>
          </w:p>
        </w:tc>
        <w:tc>
          <w:tcPr>
            <w:tcW w:w="2140" w:type="dxa"/>
            <w:vAlign w:val="bottom"/>
            <w:shd w:val="clear" w:color="auto" w:fill="F1F2F2"/>
          </w:tcPr>
          <w:p>
            <w:pPr>
              <w:jc w:val="right"/>
              <w:ind w:right="88"/>
              <w:spacing w:after="0"/>
              <w:rPr>
                <w:sz w:val="20"/>
                <w:szCs w:val="20"/>
                <w:color w:val="auto"/>
              </w:rPr>
            </w:pPr>
            <w:r>
              <w:rPr>
                <w:rFonts w:ascii="Arial" w:cs="Arial" w:eastAsia="Arial" w:hAnsi="Arial"/>
                <w:sz w:val="14"/>
                <w:szCs w:val="14"/>
                <w:color w:val="auto"/>
              </w:rPr>
              <w:t>2.5 %</w:t>
            </w:r>
          </w:p>
        </w:tc>
      </w:tr>
      <w:tr>
        <w:trPr>
          <w:trHeight w:val="208"/>
        </w:trPr>
        <w:tc>
          <w:tcPr>
            <w:tcW w:w="5360" w:type="dxa"/>
            <w:vAlign w:val="bottom"/>
          </w:tcPr>
          <w:p>
            <w:pPr>
              <w:ind w:left="260"/>
              <w:spacing w:after="0"/>
              <w:rPr>
                <w:sz w:val="20"/>
                <w:szCs w:val="20"/>
                <w:color w:val="auto"/>
              </w:rPr>
            </w:pPr>
            <w:r>
              <w:rPr>
                <w:rFonts w:ascii="Arial" w:cs="Arial" w:eastAsia="Arial" w:hAnsi="Arial"/>
                <w:sz w:val="14"/>
                <w:szCs w:val="14"/>
                <w:color w:val="auto"/>
              </w:rPr>
              <w:t>Effects of deconsolidated and transferred operations</w:t>
            </w:r>
          </w:p>
        </w:tc>
        <w:tc>
          <w:tcPr>
            <w:tcW w:w="440" w:type="dxa"/>
            <w:vAlign w:val="bottom"/>
          </w:tcPr>
          <w:p>
            <w:pPr>
              <w:spacing w:after="0"/>
              <w:rPr>
                <w:sz w:val="18"/>
                <w:szCs w:val="18"/>
                <w:color w:val="auto"/>
              </w:rPr>
            </w:pPr>
          </w:p>
        </w:tc>
        <w:tc>
          <w:tcPr>
            <w:tcW w:w="14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(147)</w:t>
            </w:r>
          </w:p>
        </w:tc>
        <w:tc>
          <w:tcPr>
            <w:tcW w:w="2140" w:type="dxa"/>
            <w:vAlign w:val="bottom"/>
          </w:tcPr>
          <w:p>
            <w:pPr>
              <w:jc w:val="right"/>
              <w:ind w:right="88"/>
              <w:spacing w:after="0"/>
              <w:rPr>
                <w:sz w:val="20"/>
                <w:szCs w:val="20"/>
                <w:color w:val="auto"/>
              </w:rPr>
            </w:pPr>
            <w:r>
              <w:rPr>
                <w:rFonts w:ascii="Arial" w:cs="Arial" w:eastAsia="Arial" w:hAnsi="Arial"/>
                <w:sz w:val="14"/>
                <w:szCs w:val="14"/>
                <w:color w:val="auto"/>
              </w:rPr>
              <w:t>(100.0)%</w:t>
            </w:r>
          </w:p>
        </w:tc>
      </w:tr>
      <w:tr>
        <w:trPr>
          <w:trHeight w:val="22"/>
        </w:trPr>
        <w:tc>
          <w:tcPr>
            <w:tcW w:w="5360" w:type="dxa"/>
            <w:vAlign w:val="bottom"/>
            <w:tcBorders>
              <w:bottom w:val="single" w:sz="8" w:color="F1F2F2"/>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F1F2F2"/>
            </w:tcBorders>
          </w:tcPr>
          <w:p>
            <w:pPr>
              <w:spacing w:after="0" w:line="20" w:lineRule="exact"/>
              <w:rPr>
                <w:sz w:val="1"/>
                <w:szCs w:val="1"/>
                <w:color w:val="auto"/>
              </w:rPr>
            </w:pPr>
          </w:p>
        </w:tc>
        <w:tc>
          <w:tcPr>
            <w:tcW w:w="1440" w:type="dxa"/>
            <w:vAlign w:val="bottom"/>
            <w:tcBorders>
              <w:bottom w:val="single" w:sz="8" w:color="F1F2F2"/>
            </w:tcBorders>
          </w:tcPr>
          <w:p>
            <w:pPr>
              <w:spacing w:after="0" w:line="20" w:lineRule="exact"/>
              <w:rPr>
                <w:sz w:val="1"/>
                <w:szCs w:val="1"/>
                <w:color w:val="auto"/>
              </w:rPr>
            </w:pPr>
          </w:p>
        </w:tc>
        <w:tc>
          <w:tcPr>
            <w:tcW w:w="2140" w:type="dxa"/>
            <w:vAlign w:val="bottom"/>
            <w:tcBorders>
              <w:bottom w:val="single" w:sz="8" w:color="F1F2F2"/>
            </w:tcBorders>
          </w:tcPr>
          <w:p>
            <w:pPr>
              <w:spacing w:after="0" w:line="20" w:lineRule="exact"/>
              <w:rPr>
                <w:sz w:val="1"/>
                <w:szCs w:val="1"/>
                <w:color w:val="auto"/>
              </w:rPr>
            </w:pPr>
          </w:p>
        </w:tc>
      </w:tr>
      <w:tr>
        <w:trPr>
          <w:trHeight w:val="223"/>
        </w:trPr>
        <w:tc>
          <w:tcPr>
            <w:tcW w:w="5360" w:type="dxa"/>
            <w:vAlign w:val="bottom"/>
            <w:tcBorders>
              <w:bottom w:val="single" w:sz="8" w:color="F1F2F2"/>
            </w:tcBorders>
            <w:shd w:val="clear" w:color="auto" w:fill="F1F2F2"/>
          </w:tcPr>
          <w:p>
            <w:pPr>
              <w:ind w:left="260"/>
              <w:spacing w:after="0"/>
              <w:rPr>
                <w:sz w:val="20"/>
                <w:szCs w:val="20"/>
                <w:color w:val="auto"/>
              </w:rPr>
            </w:pPr>
            <w:r>
              <w:rPr>
                <w:rFonts w:ascii="Arial" w:cs="Arial" w:eastAsia="Arial" w:hAnsi="Arial"/>
                <w:sz w:val="14"/>
                <w:szCs w:val="14"/>
                <w:color w:val="auto"/>
              </w:rPr>
              <w:t>Effects of foreign currency rate fluctuations</w:t>
            </w:r>
          </w:p>
        </w:tc>
        <w:tc>
          <w:tcPr>
            <w:tcW w:w="440" w:type="dxa"/>
            <w:vAlign w:val="bottom"/>
            <w:tcBorders>
              <w:bottom w:val="single" w:sz="8" w:color="F1F2F2"/>
            </w:tcBorders>
            <w:shd w:val="clear" w:color="auto" w:fill="F1F2F2"/>
          </w:tcPr>
          <w:p>
            <w:pPr>
              <w:spacing w:after="0"/>
              <w:rPr>
                <w:sz w:val="19"/>
                <w:szCs w:val="19"/>
                <w:color w:val="auto"/>
              </w:rPr>
            </w:pPr>
          </w:p>
        </w:tc>
        <w:tc>
          <w:tcPr>
            <w:tcW w:w="1440" w:type="dxa"/>
            <w:vAlign w:val="bottom"/>
            <w:tcBorders>
              <w:bottom w:val="single" w:sz="8" w:color="F1F2F2"/>
            </w:tcBorders>
            <w:shd w:val="clear" w:color="auto" w:fill="F1F2F2"/>
          </w:tcPr>
          <w:p>
            <w:pPr>
              <w:jc w:val="right"/>
              <w:ind w:right="8"/>
              <w:spacing w:after="0"/>
              <w:rPr>
                <w:sz w:val="20"/>
                <w:szCs w:val="20"/>
                <w:color w:val="auto"/>
              </w:rPr>
            </w:pPr>
            <w:r>
              <w:rPr>
                <w:rFonts w:ascii="Arial" w:cs="Arial" w:eastAsia="Arial" w:hAnsi="Arial"/>
                <w:sz w:val="14"/>
                <w:szCs w:val="14"/>
                <w:color w:val="auto"/>
              </w:rPr>
              <w:t>17,682</w:t>
            </w:r>
          </w:p>
        </w:tc>
        <w:tc>
          <w:tcPr>
            <w:tcW w:w="420" w:type="dxa"/>
            <w:vAlign w:val="bottom"/>
            <w:tcBorders>
              <w:bottom w:val="single" w:sz="8" w:color="F1F2F2"/>
            </w:tcBorders>
            <w:shd w:val="clear" w:color="auto" w:fill="F1F2F2"/>
          </w:tcPr>
          <w:p>
            <w:pPr>
              <w:spacing w:after="0"/>
              <w:rPr>
                <w:sz w:val="19"/>
                <w:szCs w:val="19"/>
                <w:color w:val="auto"/>
              </w:rPr>
            </w:pPr>
          </w:p>
        </w:tc>
        <w:tc>
          <w:tcPr>
            <w:tcW w:w="1440" w:type="dxa"/>
            <w:vAlign w:val="bottom"/>
            <w:tcBorders>
              <w:bottom w:val="single" w:sz="8" w:color="F1F2F2"/>
            </w:tcBorders>
            <w:shd w:val="clear" w:color="auto" w:fill="F1F2F2"/>
          </w:tcPr>
          <w:p>
            <w:pPr>
              <w:jc w:val="right"/>
              <w:spacing w:after="0"/>
              <w:rPr>
                <w:sz w:val="20"/>
                <w:szCs w:val="20"/>
                <w:color w:val="auto"/>
              </w:rPr>
            </w:pPr>
            <w:r>
              <w:rPr>
                <w:rFonts w:ascii="Arial" w:cs="Arial" w:eastAsia="Arial" w:hAnsi="Arial"/>
                <w:sz w:val="14"/>
                <w:szCs w:val="14"/>
                <w:color w:val="auto"/>
              </w:rPr>
              <w:t>—</w:t>
            </w:r>
          </w:p>
        </w:tc>
        <w:tc>
          <w:tcPr>
            <w:tcW w:w="2140" w:type="dxa"/>
            <w:vAlign w:val="bottom"/>
            <w:tcBorders>
              <w:bottom w:val="single" w:sz="8" w:color="F1F2F2"/>
            </w:tcBorders>
            <w:shd w:val="clear" w:color="auto" w:fill="F1F2F2"/>
          </w:tcPr>
          <w:p>
            <w:pPr>
              <w:jc w:val="right"/>
              <w:ind w:right="88"/>
              <w:spacing w:after="0"/>
              <w:rPr>
                <w:sz w:val="20"/>
                <w:szCs w:val="20"/>
                <w:color w:val="auto"/>
              </w:rPr>
            </w:pPr>
            <w:r>
              <w:rPr>
                <w:rFonts w:ascii="Arial" w:cs="Arial" w:eastAsia="Arial" w:hAnsi="Arial"/>
                <w:sz w:val="14"/>
                <w:szCs w:val="14"/>
                <w:color w:val="auto"/>
              </w:rPr>
              <w:t>N/A</w:t>
            </w:r>
          </w:p>
        </w:tc>
      </w:tr>
      <w:tr>
        <w:trPr>
          <w:trHeight w:val="201"/>
        </w:trPr>
        <w:tc>
          <w:tcPr>
            <w:tcW w:w="5360" w:type="dxa"/>
            <w:vAlign w:val="bottom"/>
          </w:tcPr>
          <w:p>
            <w:pPr>
              <w:ind w:left="100"/>
              <w:spacing w:after="0"/>
              <w:rPr>
                <w:sz w:val="20"/>
                <w:szCs w:val="20"/>
                <w:color w:val="auto"/>
              </w:rPr>
            </w:pPr>
            <w:r>
              <w:rPr>
                <w:rFonts w:ascii="Arial" w:cs="Arial" w:eastAsia="Arial" w:hAnsi="Arial"/>
                <w:sz w:val="14"/>
                <w:szCs w:val="14"/>
                <w:color w:val="auto"/>
              </w:rPr>
              <w:t>Revenue on a Constant Currency Basis</w:t>
            </w:r>
          </w:p>
        </w:tc>
        <w:tc>
          <w:tcPr>
            <w:tcW w:w="440" w:type="dxa"/>
            <w:vAlign w:val="bottom"/>
            <w:tcBorders>
              <w:top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14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1,400,387</w:t>
            </w:r>
          </w:p>
        </w:tc>
        <w:tc>
          <w:tcPr>
            <w:tcW w:w="420" w:type="dxa"/>
            <w:vAlign w:val="bottom"/>
            <w:tcBorders>
              <w:top w:val="single" w:sz="8" w:color="auto"/>
            </w:tcBorders>
          </w:tcPr>
          <w:p>
            <w:pPr>
              <w:jc w:val="right"/>
              <w:ind w:right="268"/>
              <w:spacing w:after="0"/>
              <w:rPr>
                <w:sz w:val="20"/>
                <w:szCs w:val="20"/>
                <w:color w:val="auto"/>
              </w:rPr>
            </w:pPr>
            <w:r>
              <w:rPr>
                <w:rFonts w:ascii="Arial" w:cs="Arial" w:eastAsia="Arial" w:hAnsi="Arial"/>
                <w:sz w:val="14"/>
                <w:szCs w:val="14"/>
                <w:color w:val="auto"/>
                <w:w w:val="76"/>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1,348,331</w:t>
            </w:r>
          </w:p>
        </w:tc>
        <w:tc>
          <w:tcPr>
            <w:tcW w:w="2140" w:type="dxa"/>
            <w:vAlign w:val="bottom"/>
          </w:tcPr>
          <w:p>
            <w:pPr>
              <w:jc w:val="right"/>
              <w:ind w:right="88"/>
              <w:spacing w:after="0"/>
              <w:rPr>
                <w:sz w:val="20"/>
                <w:szCs w:val="20"/>
                <w:color w:val="auto"/>
              </w:rPr>
            </w:pPr>
            <w:r>
              <w:rPr>
                <w:rFonts w:ascii="Arial" w:cs="Arial" w:eastAsia="Arial" w:hAnsi="Arial"/>
                <w:sz w:val="14"/>
                <w:szCs w:val="14"/>
                <w:color w:val="auto"/>
              </w:rPr>
              <w:t>3.9 %</w:t>
            </w:r>
          </w:p>
        </w:tc>
      </w:tr>
      <w:tr>
        <w:trPr>
          <w:trHeight w:val="22"/>
        </w:trPr>
        <w:tc>
          <w:tcPr>
            <w:tcW w:w="53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20"/>
        </w:trPr>
        <w:tc>
          <w:tcPr>
            <w:tcW w:w="53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385445</wp:posOffset>
            </wp:positionV>
            <wp:extent cx="282575" cy="27432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82575"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240" w:type="dxa"/>
            <w:vAlign w:val="bottom"/>
          </w:tcPr>
          <w:p>
            <w:pPr>
              <w:ind w:left="20"/>
              <w:spacing w:after="0"/>
              <w:rPr>
                <w:sz w:val="20"/>
                <w:szCs w:val="20"/>
                <w:color w:val="auto"/>
              </w:rPr>
            </w:pPr>
            <w:r>
              <w:rPr>
                <w:rFonts w:ascii="Arial" w:cs="Arial" w:eastAsia="Arial" w:hAnsi="Arial"/>
                <w:sz w:val="14"/>
                <w:szCs w:val="14"/>
                <w:b w:val="1"/>
                <w:bCs w:val="1"/>
                <w:color w:val="auto"/>
              </w:rPr>
              <w:t>2026 Proxy Statement</w:t>
            </w:r>
          </w:p>
        </w:tc>
        <w:tc>
          <w:tcPr>
            <w:tcW w:w="5000" w:type="dxa"/>
            <w:vAlign w:val="bottom"/>
          </w:tcPr>
          <w:p>
            <w:pPr>
              <w:ind w:left="4720"/>
              <w:spacing w:after="0"/>
              <w:rPr>
                <w:sz w:val="20"/>
                <w:szCs w:val="20"/>
                <w:color w:val="auto"/>
              </w:rPr>
            </w:pPr>
            <w:r>
              <w:rPr>
                <w:rFonts w:ascii="Arial" w:cs="Arial" w:eastAsia="Arial" w:hAnsi="Arial"/>
                <w:sz w:val="14"/>
                <w:szCs w:val="14"/>
                <w:b w:val="1"/>
                <w:bCs w:val="1"/>
                <w:color w:val="auto"/>
              </w:rPr>
              <w:t>A-3</w:t>
            </w:r>
          </w:p>
        </w:tc>
      </w:tr>
      <w:tr>
        <w:trPr>
          <w:trHeight w:val="374"/>
        </w:trPr>
        <w:tc>
          <w:tcPr>
            <w:tcW w:w="6240" w:type="dxa"/>
            <w:vAlign w:val="bottom"/>
            <w:tcBorders>
              <w:bottom w:val="single" w:sz="8" w:color="9A9A9A"/>
            </w:tcBorders>
          </w:tcPr>
          <w:p>
            <w:pPr>
              <w:spacing w:after="0"/>
              <w:rPr>
                <w:sz w:val="24"/>
                <w:szCs w:val="24"/>
                <w:color w:val="auto"/>
              </w:rPr>
            </w:pPr>
          </w:p>
        </w:tc>
        <w:tc>
          <w:tcPr>
            <w:tcW w:w="5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4" w:name="page65"/>
    <w:bookmarkEnd w:id="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243205</wp:posOffset>
            </wp:positionV>
            <wp:extent cx="7157720" cy="900557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90055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243205</wp:posOffset>
            </wp:positionV>
            <wp:extent cx="7157720" cy="89369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89369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379730</wp:posOffset>
            </wp:positionH>
            <wp:positionV relativeFrom="page">
              <wp:posOffset>243205</wp:posOffset>
            </wp:positionV>
            <wp:extent cx="6789420" cy="87782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clrChange>
                        <a:clrFrom>
                          <a:srgbClr val="FFFFFF"/>
                        </a:clrFrom>
                        <a:clrTo>
                          <a:srgbClr val="FFFFFF">
                            <a:alpha val="0"/>
                          </a:srgbClr>
                        </a:clrTo>
                      </a:clrChange>
                      <a:extLst>
                        <a:ext uri="{28A0092B-C50C-407E-A947-70E740481C1C}"/>
                      </a:extLst>
                    </a:blip>
                    <a:srcRect/>
                    <a:stretch>
                      <a:fillRect/>
                    </a:stretch>
                  </pic:blipFill>
                  <pic:spPr bwMode="auto">
                    <a:xfrm>
                      <a:off x="0" y="0"/>
                      <a:ext cx="6789420" cy="877824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1"/>
      <w:numFmt w:val="bullet"/>
      <w:start w:val="1"/>
    </w:lvl>
  </w:abstractNum>
  <w:abstractNum w:abstractNumId="4">
    <w:nsid w:val="8EDBDAB"/>
    <w:multiLevelType w:val="hybridMultilevel"/>
    <w:lvl w:ilvl="0">
      <w:lvlJc w:val="left"/>
      <w:lvlText w:val="2"/>
      <w:numFmt w:val="bullet"/>
      <w:start w:val="1"/>
    </w:lvl>
  </w:abstractNum>
  <w:abstractNum w:abstractNumId="5">
    <w:nsid w:val="79838CB2"/>
    <w:multiLevelType w:val="hybridMultilevel"/>
    <w:lvl w:ilvl="0">
      <w:lvlJc w:val="left"/>
      <w:lvlText w:val="3"/>
      <w:numFmt w:val="bullet"/>
      <w:start w:val="1"/>
    </w:lvl>
  </w:abstractNum>
  <w:abstractNum w:abstractNumId="6">
    <w:nsid w:val="4353D0CD"/>
    <w:multiLevelType w:val="hybridMultilevel"/>
    <w:lvl w:ilvl="0">
      <w:lvlJc w:val="left"/>
      <w:lvlText w:val="%1:"/>
      <w:numFmt w:val="upperLetter"/>
      <w:start w:val="16"/>
    </w:lvl>
    <w:lvl w:ilvl="1">
      <w:lvlJc w:val="left"/>
      <w:lvlText w:val="4"/>
      <w:numFmt w:val="bullet"/>
      <w:start w:val="1"/>
    </w:lvl>
  </w:abstractNum>
  <w:abstractNum w:abstractNumId="7">
    <w:nsid w:val="B03E0C6"/>
    <w:multiLevelType w:val="hybridMultilevel"/>
    <w:lvl w:ilvl="0">
      <w:lvlJc w:val="left"/>
      <w:lvlText w:val="%1."/>
      <w:numFmt w:val="decimal"/>
      <w:start w:val="1"/>
    </w:lvl>
  </w:abstractNum>
  <w:abstractNum w:abstractNumId="8">
    <w:nsid w:val="189A769B"/>
    <w:multiLevelType w:val="hybridMultilevel"/>
    <w:lvl w:ilvl="0">
      <w:lvlJc w:val="left"/>
      <w:lvlText w:val="%1."/>
      <w:numFmt w:val="decimal"/>
      <w:start w:val="1"/>
    </w:lvl>
  </w:abstractNum>
  <w:abstractNum w:abstractNumId="9">
    <w:nsid w:val="54E49EB4"/>
    <w:multiLevelType w:val="hybridMultilevel"/>
    <w:lvl w:ilvl="0">
      <w:lvlJc w:val="left"/>
      <w:lvlText w:val="•"/>
      <w:numFmt w:val="bullet"/>
      <w:start w:val="1"/>
    </w:lvl>
  </w:abstractNum>
  <w:abstractNum w:abstractNumId="10">
    <w:nsid w:val="71F32454"/>
    <w:multiLevelType w:val="hybridMultilevel"/>
    <w:lvl w:ilvl="0">
      <w:lvlJc w:val="left"/>
      <w:lvlText w:val="•"/>
      <w:numFmt w:val="bullet"/>
      <w:start w:val="1"/>
    </w:lvl>
  </w:abstractNum>
  <w:abstractNum w:abstractNumId="11">
    <w:nsid w:val="2CA88611"/>
    <w:multiLevelType w:val="hybridMultilevel"/>
    <w:lvl w:ilvl="0">
      <w:lvlJc w:val="left"/>
      <w:lvlText w:val="•"/>
      <w:numFmt w:val="bullet"/>
      <w:start w:val="1"/>
    </w:lvl>
  </w:abstractNum>
  <w:abstractNum w:abstractNumId="12">
    <w:nsid w:val="836C40E"/>
    <w:multiLevelType w:val="hybridMultilevel"/>
    <w:lvl w:ilvl="0">
      <w:lvlJc w:val="left"/>
      <w:lvlText w:val="•"/>
      <w:numFmt w:val="bullet"/>
      <w:start w:val="1"/>
    </w:lvl>
  </w:abstractNum>
  <w:abstractNum w:abstractNumId="13">
    <w:nsid w:val="2901D82"/>
    <w:multiLevelType w:val="hybridMultilevel"/>
    <w:lvl w:ilvl="0">
      <w:lvlJc w:val="left"/>
      <w:lvlText w:val="•"/>
      <w:numFmt w:val="bullet"/>
      <w:start w:val="1"/>
    </w:lvl>
  </w:abstractNum>
  <w:abstractNum w:abstractNumId="14">
    <w:nsid w:val="3A95F874"/>
    <w:multiLevelType w:val="hybridMultilevel"/>
    <w:lvl w:ilvl="0">
      <w:lvlJc w:val="left"/>
      <w:lvlText w:val="%1."/>
      <w:numFmt w:val="decimal"/>
      <w:start w:val="1"/>
    </w:lvl>
  </w:abstractNum>
  <w:abstractNum w:abstractNumId="15">
    <w:nsid w:val="8138641"/>
    <w:multiLevelType w:val="hybridMultilevel"/>
    <w:lvl w:ilvl="0">
      <w:lvlJc w:val="left"/>
      <w:lvlText w:val="%1."/>
      <w:numFmt w:val="decimal"/>
      <w:start w:val="1"/>
    </w:lvl>
  </w:abstractNum>
  <w:abstractNum w:abstractNumId="16">
    <w:nsid w:val="1E7FF521"/>
    <w:multiLevelType w:val="hybridMultilevel"/>
    <w:lvl w:ilvl="0">
      <w:lvlJc w:val="left"/>
      <w:lvlText w:val="•"/>
      <w:numFmt w:val="bullet"/>
      <w:start w:val="1"/>
    </w:lvl>
  </w:abstractNum>
  <w:abstractNum w:abstractNumId="17">
    <w:nsid w:val="7C3DBD3D"/>
    <w:multiLevelType w:val="hybridMultilevel"/>
    <w:lvl w:ilvl="0">
      <w:lvlJc w:val="left"/>
      <w:lvlText w:val="%1."/>
      <w:numFmt w:val="decimal"/>
      <w:start w:val="1"/>
    </w:lvl>
  </w:abstractNum>
  <w:abstractNum w:abstractNumId="18">
    <w:nsid w:val="737B8DDC"/>
    <w:multiLevelType w:val="hybridMultilevel"/>
    <w:lvl w:ilvl="0">
      <w:lvlJc w:val="left"/>
      <w:lvlText w:val="%1."/>
      <w:numFmt w:val="decimal"/>
      <w:start w:val="1"/>
    </w:lvl>
  </w:abstractNum>
  <w:abstractNum w:abstractNumId="19">
    <w:nsid w:val="6CEAF087"/>
    <w:multiLevelType w:val="hybridMultilevel"/>
    <w:lvl w:ilvl="0">
      <w:lvlJc w:val="left"/>
      <w:lvlText w:val="%1."/>
      <w:numFmt w:val="decimal"/>
      <w:start w:val="1"/>
    </w:lvl>
  </w:abstractNum>
  <w:abstractNum w:abstractNumId="20">
    <w:nsid w:val="22221A70"/>
    <w:multiLevelType w:val="hybridMultilevel"/>
    <w:lvl w:ilvl="0">
      <w:lvlJc w:val="left"/>
      <w:lvlText w:val="•"/>
      <w:numFmt w:val="bullet"/>
      <w:start w:val="1"/>
    </w:lvl>
  </w:abstractNum>
  <w:abstractNum w:abstractNumId="21">
    <w:nsid w:val="4516DDE9"/>
    <w:multiLevelType w:val="hybridMultilevel"/>
    <w:lvl w:ilvl="0">
      <w:lvlJc w:val="left"/>
      <w:lvlText w:val="%1."/>
      <w:numFmt w:val="decimal"/>
      <w:start w:val="1"/>
    </w:lvl>
  </w:abstractNum>
  <w:abstractNum w:abstractNumId="22">
    <w:nsid w:val="3006C83E"/>
    <w:multiLevelType w:val="hybridMultilevel"/>
    <w:lvl w:ilvl="0">
      <w:lvlJc w:val="left"/>
      <w:lvlText w:val="%1."/>
      <w:numFmt w:val="decimal"/>
      <w:start w:val="5"/>
    </w:lvl>
  </w:abstractNum>
  <w:abstractNum w:abstractNumId="23">
    <w:nsid w:val="614FD4A1"/>
    <w:multiLevelType w:val="hybridMultilevel"/>
    <w:lvl w:ilvl="0">
      <w:lvlJc w:val="left"/>
      <w:lvlText w:val="%1."/>
      <w:numFmt w:val="decimal"/>
      <w:start w:val="1"/>
    </w:lvl>
  </w:abstractNum>
  <w:abstractNum w:abstractNumId="24">
    <w:nsid w:val="419AC241"/>
    <w:multiLevelType w:val="hybridMultilevel"/>
    <w:lvl w:ilvl="0">
      <w:lvlJc w:val="left"/>
      <w:lvlText w:val="(%1)"/>
      <w:numFmt w:val="lowerLetter"/>
      <w:start w:val="6"/>
    </w:lvl>
  </w:abstractNum>
  <w:abstractNum w:abstractNumId="25">
    <w:nsid w:val="5577F8E1"/>
    <w:multiLevelType w:val="hybridMultilevel"/>
    <w:lvl w:ilvl="0">
      <w:lvlJc w:val="left"/>
      <w:lvlText w:val="%1."/>
      <w:numFmt w:val="decimal"/>
      <w:start w:val="1"/>
    </w:lvl>
  </w:abstractNum>
  <w:abstractNum w:abstractNumId="26">
    <w:nsid w:val="440BADFC"/>
    <w:multiLevelType w:val="hybridMultilevel"/>
    <w:lvl w:ilvl="0">
      <w:lvlJc w:val="left"/>
      <w:lvlText w:val="%1."/>
      <w:numFmt w:val="decimal"/>
      <w:start w:val="4"/>
    </w:lvl>
  </w:abstractNum>
  <w:abstractNum w:abstractNumId="27">
    <w:nsid w:val="5072367"/>
    <w:multiLevelType w:val="hybridMultilevel"/>
    <w:lvl w:ilvl="0">
      <w:lvlJc w:val="left"/>
      <w:lvlText w:val="%1."/>
      <w:numFmt w:val="decimal"/>
      <w:start w:val="1"/>
    </w:lvl>
  </w:abstractNum>
  <w:abstractNum w:abstractNumId="28">
    <w:nsid w:val="3804823E"/>
    <w:multiLevelType w:val="hybridMultilevel"/>
    <w:lvl w:ilvl="0">
      <w:lvlJc w:val="left"/>
      <w:lvlText w:val="%1."/>
      <w:numFmt w:val="decimal"/>
      <w:start w:val="1"/>
    </w:lvl>
  </w:abstractNum>
  <w:abstractNum w:abstractNumId="29">
    <w:nsid w:val="77465F01"/>
    <w:multiLevelType w:val="hybridMultilevel"/>
    <w:lvl w:ilvl="0">
      <w:lvlJc w:val="left"/>
      <w:lvlText w:val="%1."/>
      <w:numFmt w:val="decimal"/>
      <w:start w:val="1"/>
    </w:lvl>
  </w:abstractNum>
  <w:abstractNum w:abstractNumId="30">
    <w:nsid w:val="7724C67E"/>
    <w:multiLevelType w:val="hybridMultilevel"/>
    <w:lvl w:ilvl="0">
      <w:lvlJc w:val="left"/>
      <w:lvlText w:val="%1."/>
      <w:numFmt w:val="decimal"/>
      <w:start w:val="2"/>
    </w:lvl>
  </w:abstractNum>
  <w:abstractNum w:abstractNumId="31">
    <w:nsid w:val="5C482A97"/>
    <w:multiLevelType w:val="hybridMultilevel"/>
    <w:lvl w:ilvl="0">
      <w:lvlJc w:val="left"/>
      <w:lvlText w:val="%1"/>
      <w:numFmt w:val="decimal"/>
      <w:start w:val="1"/>
    </w:lvl>
    <w:lvl w:ilvl="1">
      <w:lvlJc w:val="left"/>
      <w:lvlText w:val="(%2)"/>
      <w:numFmt w:val="lowerLetter"/>
      <w:start w:val="1"/>
    </w:lvl>
  </w:abstractNum>
  <w:abstractNum w:abstractNumId="32">
    <w:nsid w:val="2463B9EA"/>
    <w:multiLevelType w:val="hybridMultilevel"/>
    <w:lvl w:ilvl="0">
      <w:lvlJc w:val="left"/>
      <w:lvlText w:val="%1."/>
      <w:numFmt w:val="decimal"/>
      <w:start w:val="3"/>
    </w:lvl>
    <w:lvl w:ilvl="1">
      <w:lvlJc w:val="left"/>
      <w:lvlText w:val="%2"/>
      <w:numFmt w:val="lowerLetter"/>
      <w:start w:val="1"/>
    </w:lvl>
  </w:abstractNum>
  <w:abstractNum w:abstractNumId="33">
    <w:nsid w:val="5E884ADC"/>
    <w:multiLevelType w:val="hybridMultilevel"/>
    <w:lvl w:ilvl="0">
      <w:lvlJc w:val="left"/>
      <w:lvlText w:val="•"/>
      <w:numFmt w:val="bullet"/>
      <w:start w:val="1"/>
    </w:lvl>
  </w:abstractNum>
  <w:abstractNum w:abstractNumId="34">
    <w:nsid w:val="51EAD36B"/>
    <w:multiLevelType w:val="hybridMultilevel"/>
    <w:lvl w:ilvl="0">
      <w:lvlJc w:val="left"/>
      <w:lvlText w:val="•"/>
      <w:numFmt w:val="bullet"/>
      <w:start w:val="1"/>
    </w:lvl>
  </w:abstractNum>
  <w:abstractNum w:abstractNumId="35">
    <w:nsid w:val="2D517796"/>
    <w:multiLevelType w:val="hybridMultilevel"/>
    <w:lvl w:ilvl="0">
      <w:lvlJc w:val="left"/>
      <w:lvlText w:val="%1."/>
      <w:numFmt w:val="decimal"/>
      <w:start w:val="1"/>
    </w:lvl>
  </w:abstractNum>
  <w:abstractNum w:abstractNumId="36">
    <w:nsid w:val="580BD78F"/>
    <w:multiLevelType w:val="hybridMultilevel"/>
    <w:lvl w:ilvl="0">
      <w:lvlJc w:val="left"/>
      <w:lvlText w:val="%1."/>
      <w:numFmt w:val="decimal"/>
      <w:start w:val="1"/>
    </w:lvl>
  </w:abstractNum>
  <w:abstractNum w:abstractNumId="37">
    <w:nsid w:val="153EA438"/>
    <w:multiLevelType w:val="hybridMultilevel"/>
    <w:lvl w:ilvl="0">
      <w:lvlJc w:val="left"/>
      <w:lvlText w:val="•"/>
      <w:numFmt w:val="bullet"/>
      <w:start w:val="1"/>
    </w:lvl>
  </w:abstractNum>
  <w:abstractNum w:abstractNumId="38">
    <w:nsid w:val="3855585C"/>
    <w:multiLevelType w:val="hybridMultilevel"/>
    <w:lvl w:ilvl="0">
      <w:lvlJc w:val="left"/>
      <w:lvlText w:val="*"/>
      <w:numFmt w:val="bullet"/>
      <w:start w:val="1"/>
    </w:lvl>
  </w:abstractNum>
  <w:abstractNum w:abstractNumId="39">
    <w:nsid w:val="70A64E2A"/>
    <w:multiLevelType w:val="hybridMultilevel"/>
    <w:lvl w:ilvl="0">
      <w:lvlJc w:val="left"/>
      <w:lvlText w:val="%1."/>
      <w:numFmt w:val="decimal"/>
      <w:start w:val="1"/>
    </w:lvl>
  </w:abstractNum>
  <w:abstractNum w:abstractNumId="40">
    <w:nsid w:val="6A2342EC"/>
    <w:multiLevelType w:val="hybridMultilevel"/>
    <w:lvl w:ilvl="0">
      <w:lvlJc w:val="left"/>
      <w:lvlText w:val="%1."/>
      <w:numFmt w:val="decimal"/>
      <w:start w:val="1"/>
    </w:lvl>
  </w:abstractNum>
  <w:abstractNum w:abstractNumId="41">
    <w:nsid w:val="2A487CB0"/>
    <w:multiLevelType w:val="hybridMultilevel"/>
    <w:lvl w:ilvl="0">
      <w:lvlJc w:val="left"/>
      <w:lvlText w:val="•"/>
      <w:numFmt w:val="bullet"/>
      <w:start w:val="1"/>
    </w:lvl>
  </w:abstractNum>
  <w:abstractNum w:abstractNumId="42">
    <w:nsid w:val="1D4ED43B"/>
    <w:multiLevelType w:val="hybridMultilevel"/>
    <w:lvl w:ilvl="0">
      <w:lvlJc w:val="left"/>
      <w:lvlText w:val="%1."/>
      <w:numFmt w:val="decimal"/>
      <w:start w:val="1"/>
    </w:lvl>
  </w:abstractNum>
  <w:abstractNum w:abstractNumId="43">
    <w:nsid w:val="725A06FB"/>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jpe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jpe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jpe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jpe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jpe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2026-04-22T15:34:56Z</dcterms:created>
  <dcterms:modified xsi:type="dcterms:W3CDTF">2026-04-22T15:34:56Z</dcterms:modified>
</cp:coreProperties>
</file>