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96100.xml.htm"/>
      <w:bookmarkStart w:id="1" w:name="kswkform4_17857961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David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N. PACIFIC COAST HIGHWAY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SEGUNDO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WEBTOON Entertainment Inc.</w:t>
              </w:r>
            </w:hyperlink>
            <w:r>
              <w:rPr/>
              <w:t xml:space="preserve"> [ </w:t>
            </w:r>
            <w:r>
              <w:rPr>
                <w:rFonts w:ascii="Times;serif" w:hAnsi="Times;serif"/>
                <w:color w:val="0000FF"/>
                <w:sz w:val="24"/>
                <w:shd w:fill="FFFFFF" w:val="clear"/>
              </w:rPr>
              <w:t>WBTN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2,954</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9.12</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218,632</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income tax withholding and remittance obligations in connection with the vesting and net settlement of the Reporting Person's equity awards, previously reported on a Form 3,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and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Maximilian Jo, as Attorney-in-Fact for David J. Lee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5182" TargetMode="External"/><Relationship Id="rId5" Type="http://schemas.openxmlformats.org/officeDocument/2006/relationships/hyperlink" Target="http://www.sec.gov/cgi-bin/browse-edgar?action=getcompany&amp;CIK=00019978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3386</Characters>
  <CharactersWithSpaces>3941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