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981071.xml.htm"/>
      <w:bookmarkStart w:id="1" w:name="kswkform4_17839810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Lee David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5700 WILSHIRE BLVD., SUITE 220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WEBTOON Entertainment Inc.</w:t>
              </w:r>
            </w:hyperlink>
            <w:r>
              <w:rPr/>
              <w:t xml:space="preserve"> [ </w:t>
            </w:r>
            <w:r>
              <w:rPr>
                <w:rFonts w:ascii="Times;serif" w:hAnsi="Times;serif"/>
                <w:color w:val="0000FF"/>
                <w:sz w:val="24"/>
                <w:shd w:fill="FFFFFF" w:val="clear"/>
              </w:rPr>
              <w:t>WBTN</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07/12/2026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9,463</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11.54</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221,586</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that have been withheld by the Issuer to satisfy income tax withholding and remittance obligations in connection with the vesting and net settlement of the Reporting Person's equity awards, previously reported on a Form 3, and does not represent a sale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Financial Officer and Director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Maximilian Jo, as Attorney-in-Fact for David J. Lee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5182" TargetMode="External"/><Relationship Id="rId5" Type="http://schemas.openxmlformats.org/officeDocument/2006/relationships/hyperlink" Target="http://www.sec.gov/cgi-bin/browse-edgar?action=getcompany&amp;CIK=00019978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620</Words>
  <Characters>3361</Characters>
  <CharactersWithSpaces>3920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